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05" w:rsidRDefault="00C76CAA">
      <w:pPr>
        <w:pStyle w:val="Standard"/>
        <w:jc w:val="center"/>
        <w:rPr>
          <w:sz w:val="28"/>
          <w:szCs w:val="28"/>
          <w:lang w:val="ru-RU"/>
        </w:rPr>
      </w:pPr>
      <w:r>
        <w:rPr>
          <w:sz w:val="28"/>
          <w:szCs w:val="28"/>
          <w:lang w:val="ru-RU"/>
        </w:rPr>
        <w:t>Министерство культуры Российской Федерации</w:t>
      </w:r>
    </w:p>
    <w:p w:rsidR="00742105" w:rsidRDefault="00C76CAA">
      <w:pPr>
        <w:pStyle w:val="Standard"/>
        <w:jc w:val="center"/>
        <w:rPr>
          <w:sz w:val="28"/>
          <w:szCs w:val="28"/>
          <w:lang w:val="ru-RU"/>
        </w:rPr>
      </w:pPr>
      <w:r>
        <w:rPr>
          <w:sz w:val="28"/>
          <w:szCs w:val="28"/>
          <w:lang w:val="ru-RU"/>
        </w:rPr>
        <w:t>Государственное автономное учреждение культуры Краснодарского края «Выставочный комплекс «Атамань»</w:t>
      </w: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jc w:val="center"/>
        <w:rPr>
          <w:sz w:val="48"/>
          <w:szCs w:val="48"/>
          <w:lang w:val="ru-RU"/>
        </w:rPr>
      </w:pPr>
    </w:p>
    <w:p w:rsidR="00742105" w:rsidRDefault="00742105">
      <w:pPr>
        <w:pStyle w:val="Standard"/>
        <w:jc w:val="center"/>
        <w:rPr>
          <w:sz w:val="48"/>
          <w:szCs w:val="48"/>
          <w:lang w:val="ru-RU"/>
        </w:rPr>
      </w:pPr>
    </w:p>
    <w:p w:rsidR="00742105" w:rsidRDefault="00742105">
      <w:pPr>
        <w:pStyle w:val="Standard"/>
        <w:jc w:val="center"/>
        <w:rPr>
          <w:sz w:val="48"/>
          <w:szCs w:val="48"/>
          <w:lang w:val="ru-RU"/>
        </w:rPr>
      </w:pPr>
    </w:p>
    <w:p w:rsidR="00742105" w:rsidRDefault="00742105">
      <w:pPr>
        <w:pStyle w:val="Standard"/>
        <w:rPr>
          <w:sz w:val="48"/>
          <w:szCs w:val="48"/>
          <w:lang w:val="ru-RU"/>
        </w:rPr>
      </w:pPr>
    </w:p>
    <w:p w:rsidR="00742105" w:rsidRDefault="00C76CAA">
      <w:pPr>
        <w:pStyle w:val="Standard"/>
        <w:jc w:val="center"/>
        <w:rPr>
          <w:sz w:val="48"/>
          <w:szCs w:val="48"/>
          <w:lang w:val="ru-RU"/>
        </w:rPr>
      </w:pPr>
      <w:r>
        <w:rPr>
          <w:sz w:val="48"/>
          <w:szCs w:val="48"/>
          <w:lang w:val="ru-RU"/>
        </w:rPr>
        <w:t>Стратегия развития Государственного автономного учреждения культуры Краснодарского края</w:t>
      </w:r>
    </w:p>
    <w:p w:rsidR="00742105" w:rsidRDefault="00C76CAA">
      <w:pPr>
        <w:pStyle w:val="Standard"/>
        <w:jc w:val="center"/>
        <w:rPr>
          <w:sz w:val="48"/>
          <w:szCs w:val="48"/>
          <w:lang w:val="ru-RU"/>
        </w:rPr>
      </w:pPr>
      <w:r>
        <w:rPr>
          <w:sz w:val="48"/>
          <w:szCs w:val="48"/>
          <w:lang w:val="ru-RU"/>
        </w:rPr>
        <w:t>«Выставочный комплекс «Атамань»</w:t>
      </w:r>
    </w:p>
    <w:p w:rsidR="00742105" w:rsidRDefault="00C76CAA">
      <w:pPr>
        <w:pStyle w:val="Standard"/>
        <w:jc w:val="center"/>
        <w:rPr>
          <w:sz w:val="48"/>
          <w:szCs w:val="48"/>
          <w:lang w:val="ru-RU"/>
        </w:rPr>
      </w:pPr>
      <w:r>
        <w:rPr>
          <w:sz w:val="48"/>
          <w:szCs w:val="48"/>
          <w:lang w:val="ru-RU"/>
        </w:rPr>
        <w:t>до 2023 г.</w:t>
      </w:r>
    </w:p>
    <w:p w:rsidR="00742105" w:rsidRDefault="00742105">
      <w:pPr>
        <w:pStyle w:val="Standard"/>
        <w:jc w:val="center"/>
        <w:rPr>
          <w:sz w:val="48"/>
          <w:szCs w:val="48"/>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rPr>
          <w:lang w:val="ru-RU"/>
        </w:rPr>
      </w:pPr>
    </w:p>
    <w:p w:rsidR="00742105" w:rsidRDefault="00742105">
      <w:pPr>
        <w:pStyle w:val="Standard"/>
        <w:jc w:val="center"/>
        <w:rPr>
          <w:lang w:val="ru-RU"/>
        </w:rPr>
      </w:pPr>
    </w:p>
    <w:p w:rsidR="00742105" w:rsidRDefault="00742105">
      <w:pPr>
        <w:pStyle w:val="Standard"/>
        <w:jc w:val="center"/>
        <w:rPr>
          <w:lang w:val="ru-RU"/>
        </w:rPr>
      </w:pPr>
    </w:p>
    <w:p w:rsidR="00742105" w:rsidRDefault="00742105">
      <w:pPr>
        <w:pStyle w:val="Standard"/>
        <w:jc w:val="center"/>
        <w:rPr>
          <w:lang w:val="ru-RU"/>
        </w:rPr>
      </w:pPr>
    </w:p>
    <w:p w:rsidR="00742105" w:rsidRDefault="00742105">
      <w:pPr>
        <w:pStyle w:val="Standard"/>
        <w:jc w:val="center"/>
        <w:rPr>
          <w:lang w:val="ru-RU"/>
        </w:rPr>
      </w:pPr>
    </w:p>
    <w:p w:rsidR="00742105" w:rsidRDefault="00742105">
      <w:pPr>
        <w:pStyle w:val="Standard"/>
        <w:jc w:val="center"/>
        <w:rPr>
          <w:lang w:val="ru-RU"/>
        </w:rPr>
      </w:pPr>
    </w:p>
    <w:p w:rsidR="00742105" w:rsidRDefault="00C76CAA">
      <w:pPr>
        <w:pStyle w:val="Standard"/>
        <w:jc w:val="center"/>
        <w:rPr>
          <w:lang w:val="ru-RU"/>
        </w:rPr>
      </w:pPr>
      <w:r>
        <w:rPr>
          <w:lang w:val="ru-RU"/>
        </w:rPr>
        <w:t>Тамань 2018 год</w:t>
      </w:r>
    </w:p>
    <w:p w:rsidR="00742105" w:rsidRDefault="00C76CAA">
      <w:pPr>
        <w:pStyle w:val="Standard"/>
        <w:jc w:val="center"/>
        <w:rPr>
          <w:b/>
          <w:bCs/>
          <w:sz w:val="28"/>
          <w:szCs w:val="28"/>
          <w:lang w:val="ru-RU"/>
        </w:rPr>
      </w:pPr>
      <w:r>
        <w:rPr>
          <w:b/>
          <w:bCs/>
          <w:sz w:val="28"/>
          <w:szCs w:val="28"/>
          <w:lang w:val="ru-RU"/>
        </w:rPr>
        <w:lastRenderedPageBreak/>
        <w:t>Содержание</w:t>
      </w:r>
    </w:p>
    <w:p w:rsidR="00742105" w:rsidRDefault="00742105">
      <w:pPr>
        <w:pStyle w:val="Standard"/>
        <w:jc w:val="center"/>
        <w:rPr>
          <w:b/>
          <w:bCs/>
          <w:sz w:val="28"/>
          <w:szCs w:val="28"/>
          <w:lang w:val="ru-RU"/>
        </w:rPr>
      </w:pPr>
    </w:p>
    <w:p w:rsidR="00742105" w:rsidRDefault="00C76CAA">
      <w:pPr>
        <w:pStyle w:val="Standard"/>
        <w:jc w:val="both"/>
        <w:rPr>
          <w:b/>
          <w:bCs/>
          <w:sz w:val="28"/>
          <w:szCs w:val="28"/>
          <w:lang w:val="ru-RU"/>
        </w:rPr>
      </w:pPr>
      <w:r>
        <w:rPr>
          <w:b/>
          <w:bCs/>
          <w:sz w:val="28"/>
          <w:szCs w:val="28"/>
          <w:lang w:val="ru-RU"/>
        </w:rPr>
        <w:t>1.Характеристика текущей ситуации.</w:t>
      </w:r>
    </w:p>
    <w:p w:rsidR="00742105" w:rsidRDefault="00C76CAA">
      <w:pPr>
        <w:pStyle w:val="Standard"/>
        <w:numPr>
          <w:ilvl w:val="1"/>
          <w:numId w:val="1"/>
        </w:numPr>
        <w:jc w:val="both"/>
        <w:rPr>
          <w:bCs/>
          <w:sz w:val="28"/>
          <w:szCs w:val="28"/>
          <w:lang w:val="ru-RU"/>
        </w:rPr>
      </w:pPr>
      <w:r>
        <w:rPr>
          <w:bCs/>
          <w:sz w:val="28"/>
          <w:szCs w:val="28"/>
          <w:lang w:val="ru-RU"/>
        </w:rPr>
        <w:t>Введение</w:t>
      </w:r>
    </w:p>
    <w:p w:rsidR="00742105" w:rsidRDefault="00C76CAA">
      <w:pPr>
        <w:pStyle w:val="Standard"/>
        <w:numPr>
          <w:ilvl w:val="1"/>
          <w:numId w:val="1"/>
        </w:numPr>
        <w:jc w:val="both"/>
        <w:rPr>
          <w:bCs/>
          <w:sz w:val="28"/>
          <w:szCs w:val="28"/>
          <w:lang w:val="ru-RU"/>
        </w:rPr>
      </w:pPr>
      <w:r>
        <w:rPr>
          <w:bCs/>
          <w:sz w:val="28"/>
          <w:szCs w:val="28"/>
          <w:lang w:val="ru-RU"/>
        </w:rPr>
        <w:t>Кадровое обеспечение</w:t>
      </w:r>
    </w:p>
    <w:p w:rsidR="00742105" w:rsidRDefault="00C76CAA">
      <w:pPr>
        <w:pStyle w:val="Standard"/>
        <w:numPr>
          <w:ilvl w:val="1"/>
          <w:numId w:val="1"/>
        </w:numPr>
        <w:jc w:val="both"/>
        <w:rPr>
          <w:bCs/>
          <w:sz w:val="28"/>
          <w:szCs w:val="28"/>
          <w:lang w:val="ru-RU"/>
        </w:rPr>
      </w:pPr>
      <w:r>
        <w:rPr>
          <w:bCs/>
          <w:sz w:val="28"/>
          <w:szCs w:val="28"/>
          <w:lang w:val="ru-RU"/>
        </w:rPr>
        <w:t>Посещаемость</w:t>
      </w:r>
    </w:p>
    <w:p w:rsidR="00742105" w:rsidRDefault="00C76CAA">
      <w:pPr>
        <w:pStyle w:val="Standard"/>
        <w:numPr>
          <w:ilvl w:val="1"/>
          <w:numId w:val="1"/>
        </w:numPr>
        <w:jc w:val="both"/>
        <w:rPr>
          <w:bCs/>
          <w:sz w:val="28"/>
          <w:szCs w:val="28"/>
          <w:lang w:val="ru-RU"/>
        </w:rPr>
      </w:pPr>
      <w:r>
        <w:rPr>
          <w:bCs/>
          <w:sz w:val="28"/>
          <w:szCs w:val="28"/>
          <w:lang w:val="ru-RU"/>
        </w:rPr>
        <w:t>Основные проблемы музея.</w:t>
      </w:r>
    </w:p>
    <w:p w:rsidR="00742105" w:rsidRDefault="00C76CAA">
      <w:pPr>
        <w:pStyle w:val="Standard"/>
        <w:jc w:val="both"/>
        <w:rPr>
          <w:b/>
          <w:bCs/>
          <w:sz w:val="28"/>
          <w:szCs w:val="28"/>
          <w:lang w:val="ru-RU"/>
        </w:rPr>
      </w:pPr>
      <w:r>
        <w:rPr>
          <w:b/>
          <w:bCs/>
          <w:sz w:val="28"/>
          <w:szCs w:val="28"/>
          <w:lang w:val="ru-RU"/>
        </w:rPr>
        <w:t>2.Миссия</w:t>
      </w:r>
    </w:p>
    <w:p w:rsidR="00742105" w:rsidRDefault="00C76CAA">
      <w:pPr>
        <w:pStyle w:val="Standard"/>
        <w:jc w:val="both"/>
        <w:rPr>
          <w:b/>
          <w:bCs/>
          <w:sz w:val="28"/>
          <w:szCs w:val="28"/>
          <w:lang w:val="ru-RU"/>
        </w:rPr>
      </w:pPr>
      <w:r>
        <w:rPr>
          <w:b/>
          <w:bCs/>
          <w:sz w:val="28"/>
          <w:szCs w:val="28"/>
          <w:lang w:val="ru-RU"/>
        </w:rPr>
        <w:t>3. Стратегические цели.</w:t>
      </w:r>
    </w:p>
    <w:p w:rsidR="00742105" w:rsidRDefault="00C76CAA">
      <w:pPr>
        <w:pStyle w:val="Standard"/>
        <w:jc w:val="both"/>
        <w:rPr>
          <w:b/>
          <w:bCs/>
          <w:sz w:val="28"/>
          <w:szCs w:val="28"/>
          <w:lang w:val="ru-RU"/>
        </w:rPr>
      </w:pPr>
      <w:r>
        <w:rPr>
          <w:b/>
          <w:bCs/>
          <w:sz w:val="28"/>
          <w:szCs w:val="28"/>
          <w:lang w:val="ru-RU"/>
        </w:rPr>
        <w:t>4. Стратегические задачи.</w:t>
      </w:r>
    </w:p>
    <w:p w:rsidR="00742105" w:rsidRDefault="00C76CAA">
      <w:pPr>
        <w:pStyle w:val="Standard"/>
        <w:ind w:firstLine="708"/>
        <w:jc w:val="both"/>
        <w:rPr>
          <w:bCs/>
          <w:sz w:val="28"/>
          <w:szCs w:val="28"/>
          <w:lang w:val="ru-RU"/>
        </w:rPr>
      </w:pPr>
      <w:r>
        <w:rPr>
          <w:bCs/>
          <w:sz w:val="28"/>
          <w:szCs w:val="28"/>
          <w:lang w:val="ru-RU"/>
        </w:rPr>
        <w:t>4.1.</w:t>
      </w:r>
      <w:r>
        <w:rPr>
          <w:bCs/>
          <w:sz w:val="28"/>
          <w:szCs w:val="28"/>
          <w:lang w:val="ru-RU"/>
        </w:rPr>
        <w:tab/>
        <w:t>Расширение аудитории</w:t>
      </w:r>
    </w:p>
    <w:p w:rsidR="00742105" w:rsidRDefault="00C76CAA">
      <w:pPr>
        <w:pStyle w:val="Standard"/>
        <w:ind w:firstLine="708"/>
        <w:jc w:val="both"/>
        <w:rPr>
          <w:bCs/>
          <w:sz w:val="28"/>
          <w:szCs w:val="28"/>
          <w:lang w:val="ru-RU"/>
        </w:rPr>
      </w:pPr>
      <w:r>
        <w:rPr>
          <w:bCs/>
          <w:sz w:val="28"/>
          <w:szCs w:val="28"/>
          <w:lang w:val="ru-RU"/>
        </w:rPr>
        <w:t>4.2.</w:t>
      </w:r>
      <w:r>
        <w:rPr>
          <w:bCs/>
          <w:sz w:val="28"/>
          <w:szCs w:val="28"/>
          <w:lang w:val="ru-RU"/>
        </w:rPr>
        <w:tab/>
        <w:t>Научная и экспозиционная деятельность</w:t>
      </w:r>
    </w:p>
    <w:p w:rsidR="00742105" w:rsidRDefault="00C76CAA">
      <w:pPr>
        <w:pStyle w:val="Standard"/>
        <w:ind w:firstLine="708"/>
        <w:jc w:val="both"/>
        <w:rPr>
          <w:bCs/>
          <w:sz w:val="28"/>
          <w:szCs w:val="28"/>
          <w:lang w:val="ru-RU"/>
        </w:rPr>
      </w:pPr>
      <w:r>
        <w:rPr>
          <w:bCs/>
          <w:sz w:val="28"/>
          <w:szCs w:val="28"/>
          <w:lang w:val="ru-RU"/>
        </w:rPr>
        <w:t>4.3.</w:t>
      </w:r>
      <w:r>
        <w:rPr>
          <w:bCs/>
          <w:sz w:val="28"/>
          <w:szCs w:val="28"/>
          <w:lang w:val="ru-RU"/>
        </w:rPr>
        <w:tab/>
        <w:t>Финансовая политика</w:t>
      </w:r>
    </w:p>
    <w:p w:rsidR="00742105" w:rsidRDefault="00C76CAA">
      <w:pPr>
        <w:pStyle w:val="Standard"/>
        <w:ind w:firstLine="708"/>
        <w:jc w:val="both"/>
        <w:rPr>
          <w:bCs/>
          <w:sz w:val="28"/>
          <w:szCs w:val="28"/>
          <w:lang w:val="ru-RU"/>
        </w:rPr>
      </w:pPr>
      <w:r>
        <w:rPr>
          <w:bCs/>
          <w:sz w:val="28"/>
          <w:szCs w:val="28"/>
          <w:lang w:val="ru-RU"/>
        </w:rPr>
        <w:t>4.4.</w:t>
      </w:r>
      <w:r>
        <w:rPr>
          <w:bCs/>
          <w:sz w:val="28"/>
          <w:szCs w:val="28"/>
          <w:lang w:val="ru-RU"/>
        </w:rPr>
        <w:tab/>
        <w:t>Кадровая политика</w:t>
      </w:r>
    </w:p>
    <w:p w:rsidR="00742105" w:rsidRDefault="00C76CAA">
      <w:pPr>
        <w:pStyle w:val="Standard"/>
        <w:ind w:firstLine="708"/>
        <w:jc w:val="both"/>
        <w:rPr>
          <w:bCs/>
          <w:sz w:val="28"/>
          <w:szCs w:val="28"/>
          <w:lang w:val="ru-RU"/>
        </w:rPr>
      </w:pPr>
      <w:r>
        <w:rPr>
          <w:bCs/>
          <w:sz w:val="28"/>
          <w:szCs w:val="28"/>
          <w:lang w:val="ru-RU"/>
        </w:rPr>
        <w:t>4.5.</w:t>
      </w:r>
      <w:r>
        <w:rPr>
          <w:bCs/>
          <w:sz w:val="28"/>
          <w:szCs w:val="28"/>
          <w:lang w:val="ru-RU"/>
        </w:rPr>
        <w:tab/>
        <w:t>Продвижение</w:t>
      </w:r>
    </w:p>
    <w:p w:rsidR="00742105" w:rsidRDefault="00C76CAA">
      <w:pPr>
        <w:pStyle w:val="Standard"/>
        <w:ind w:firstLine="708"/>
        <w:jc w:val="both"/>
        <w:rPr>
          <w:bCs/>
          <w:sz w:val="28"/>
          <w:szCs w:val="28"/>
          <w:lang w:val="ru-RU"/>
        </w:rPr>
      </w:pPr>
      <w:r>
        <w:rPr>
          <w:bCs/>
          <w:sz w:val="28"/>
          <w:szCs w:val="28"/>
          <w:lang w:val="ru-RU"/>
        </w:rPr>
        <w:t>4.6.</w:t>
      </w:r>
      <w:r>
        <w:rPr>
          <w:bCs/>
          <w:sz w:val="28"/>
          <w:szCs w:val="28"/>
          <w:lang w:val="ru-RU"/>
        </w:rPr>
        <w:tab/>
        <w:t>Развитие инфраструктуры приема посетителей</w:t>
      </w:r>
    </w:p>
    <w:p w:rsidR="00742105" w:rsidRDefault="00C76CAA">
      <w:pPr>
        <w:pStyle w:val="Standard"/>
        <w:jc w:val="both"/>
        <w:rPr>
          <w:b/>
          <w:bCs/>
          <w:sz w:val="28"/>
          <w:szCs w:val="28"/>
          <w:lang w:val="ru-RU"/>
        </w:rPr>
      </w:pPr>
      <w:r>
        <w:rPr>
          <w:b/>
          <w:bCs/>
          <w:sz w:val="28"/>
          <w:szCs w:val="28"/>
          <w:lang w:val="ru-RU"/>
        </w:rPr>
        <w:t>5. Механизмы реализации.</w:t>
      </w:r>
    </w:p>
    <w:p w:rsidR="00742105" w:rsidRDefault="00C76CAA">
      <w:pPr>
        <w:pStyle w:val="Standard"/>
        <w:ind w:firstLine="708"/>
        <w:jc w:val="both"/>
        <w:rPr>
          <w:bCs/>
          <w:sz w:val="28"/>
          <w:szCs w:val="28"/>
          <w:lang w:val="ru-RU"/>
        </w:rPr>
      </w:pPr>
      <w:r>
        <w:rPr>
          <w:bCs/>
          <w:sz w:val="28"/>
          <w:szCs w:val="28"/>
          <w:lang w:val="ru-RU"/>
        </w:rPr>
        <w:t>5.1.</w:t>
      </w:r>
      <w:r>
        <w:rPr>
          <w:bCs/>
          <w:sz w:val="28"/>
          <w:szCs w:val="28"/>
          <w:lang w:val="ru-RU"/>
        </w:rPr>
        <w:tab/>
        <w:t>Научная деятельность</w:t>
      </w:r>
    </w:p>
    <w:p w:rsidR="00742105" w:rsidRDefault="00742105">
      <w:pPr>
        <w:pStyle w:val="Standard"/>
        <w:ind w:firstLine="708"/>
        <w:jc w:val="both"/>
        <w:rPr>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jc w:val="center"/>
        <w:rPr>
          <w:b/>
          <w:bCs/>
          <w:sz w:val="28"/>
          <w:szCs w:val="28"/>
          <w:lang w:val="ru-RU"/>
        </w:rPr>
      </w:pPr>
    </w:p>
    <w:p w:rsidR="00742105" w:rsidRDefault="00742105">
      <w:pPr>
        <w:pStyle w:val="Standard"/>
        <w:rPr>
          <w:b/>
          <w:bCs/>
          <w:sz w:val="28"/>
          <w:szCs w:val="28"/>
          <w:lang w:val="ru-RU"/>
        </w:rPr>
      </w:pPr>
    </w:p>
    <w:p w:rsidR="00742105" w:rsidRDefault="00C76CAA">
      <w:pPr>
        <w:pStyle w:val="Standard"/>
        <w:numPr>
          <w:ilvl w:val="1"/>
          <w:numId w:val="2"/>
        </w:numPr>
        <w:jc w:val="center"/>
        <w:rPr>
          <w:b/>
          <w:bCs/>
          <w:lang w:val="ru-RU"/>
        </w:rPr>
      </w:pPr>
      <w:r>
        <w:rPr>
          <w:b/>
          <w:bCs/>
          <w:sz w:val="28"/>
          <w:szCs w:val="28"/>
          <w:lang w:val="ru-RU"/>
        </w:rPr>
        <w:lastRenderedPageBreak/>
        <w:t>ВВЕДЕНИЕ</w:t>
      </w:r>
    </w:p>
    <w:p w:rsidR="00742105" w:rsidRDefault="00742105">
      <w:pPr>
        <w:pStyle w:val="Standard"/>
        <w:jc w:val="center"/>
        <w:rPr>
          <w:lang w:val="ru-RU"/>
        </w:rPr>
      </w:pPr>
    </w:p>
    <w:p w:rsidR="00742105" w:rsidRDefault="00C76CAA">
      <w:pPr>
        <w:pStyle w:val="Standard"/>
        <w:spacing w:line="360" w:lineRule="auto"/>
        <w:jc w:val="both"/>
        <w:rPr>
          <w:lang w:val="ru-RU"/>
        </w:rPr>
      </w:pPr>
      <w:r>
        <w:rPr>
          <w:lang w:val="ru-RU"/>
        </w:rPr>
        <w:tab/>
      </w:r>
      <w:r>
        <w:rPr>
          <w:sz w:val="28"/>
          <w:szCs w:val="28"/>
          <w:lang w:val="ru-RU"/>
        </w:rPr>
        <w:t xml:space="preserve">Государственное учреждение культуры Краснодарского края «Выставочный комплекс «Атамань» (далее — Выставочный комплекс «Атамань») — крупнейший выставочный комплекс в Краснодарском крае,   являющий собой этнографическую деревню, и рассказывающий о истории Кубанского казачества, а также о жизни и быте первых переселенцев из Запорожской Сечи в конце </w:t>
      </w:r>
      <w:r>
        <w:rPr>
          <w:sz w:val="28"/>
          <w:szCs w:val="28"/>
        </w:rPr>
        <w:t>XVIII</w:t>
      </w:r>
      <w:r>
        <w:rPr>
          <w:sz w:val="28"/>
          <w:szCs w:val="28"/>
          <w:lang w:val="ru-RU"/>
        </w:rPr>
        <w:t>века.</w:t>
      </w:r>
    </w:p>
    <w:p w:rsidR="00742105" w:rsidRDefault="00C76CAA">
      <w:pPr>
        <w:pStyle w:val="Standard"/>
        <w:spacing w:line="360" w:lineRule="auto"/>
        <w:jc w:val="both"/>
        <w:rPr>
          <w:sz w:val="28"/>
          <w:szCs w:val="28"/>
          <w:lang w:val="ru-RU"/>
        </w:rPr>
      </w:pPr>
      <w:r>
        <w:rPr>
          <w:sz w:val="28"/>
          <w:szCs w:val="28"/>
          <w:lang w:val="ru-RU"/>
        </w:rPr>
        <w:tab/>
      </w:r>
      <w:r>
        <w:rPr>
          <w:b/>
          <w:bCs/>
          <w:color w:val="2D2D2D"/>
          <w:sz w:val="28"/>
          <w:szCs w:val="28"/>
          <w:lang w:val="ru-RU"/>
        </w:rPr>
        <w:t>Постановлением Законодательного Собрания Краснодарского края ГАУК КК «Выставочный комплекс «Атамань» отнесен к особо ценным объектам культурного достояния Краснодарского края в области традиционной народной культуры.</w:t>
      </w:r>
    </w:p>
    <w:p w:rsidR="00742105" w:rsidRDefault="00C76CAA">
      <w:pPr>
        <w:pStyle w:val="Standard"/>
        <w:spacing w:line="360" w:lineRule="auto"/>
        <w:jc w:val="both"/>
        <w:rPr>
          <w:color w:val="000000" w:themeColor="text1"/>
          <w:sz w:val="28"/>
          <w:szCs w:val="28"/>
          <w:lang w:val="ru-RU"/>
        </w:rPr>
      </w:pPr>
      <w:r>
        <w:rPr>
          <w:sz w:val="28"/>
          <w:szCs w:val="28"/>
          <w:lang w:val="ru-RU"/>
        </w:rPr>
        <w:tab/>
      </w:r>
      <w:r>
        <w:rPr>
          <w:color w:val="000000" w:themeColor="text1"/>
          <w:sz w:val="28"/>
          <w:szCs w:val="28"/>
          <w:lang w:val="ru-RU"/>
        </w:rPr>
        <w:t xml:space="preserve">Строительство комплекса «Атамань» началось в 2009 году. В строительстве принимали участие районы, министерства, общественные организации и учреждения Краснодарского края. В соответствии с генеральным планом каждое подворье дает посетителям представление о какой-либо теме, связанной с бытом, материальной культурой, ремеслами, фольклором кубанского казачества. Хаты построены по современным строительным технологиям, но внешне стилизованы под казачьи хаты конца </w:t>
      </w:r>
      <w:r>
        <w:rPr>
          <w:color w:val="000000" w:themeColor="text1"/>
          <w:sz w:val="28"/>
          <w:szCs w:val="28"/>
        </w:rPr>
        <w:t>XVIII</w:t>
      </w:r>
      <w:r>
        <w:rPr>
          <w:color w:val="000000" w:themeColor="text1"/>
          <w:sz w:val="28"/>
          <w:szCs w:val="28"/>
          <w:lang w:val="ru-RU"/>
        </w:rPr>
        <w:t xml:space="preserve"> — начала </w:t>
      </w:r>
      <w:r>
        <w:rPr>
          <w:color w:val="000000" w:themeColor="text1"/>
          <w:sz w:val="28"/>
          <w:szCs w:val="28"/>
        </w:rPr>
        <w:t>XX</w:t>
      </w:r>
      <w:r>
        <w:rPr>
          <w:color w:val="000000" w:themeColor="text1"/>
          <w:sz w:val="28"/>
          <w:szCs w:val="28"/>
          <w:lang w:val="ru-RU"/>
        </w:rPr>
        <w:t xml:space="preserve"> веков. Подворья станицы являются своеобразными мини-музеями.</w:t>
      </w:r>
    </w:p>
    <w:p w:rsidR="00742105" w:rsidRDefault="00C76CAA">
      <w:pPr>
        <w:pStyle w:val="Textbody"/>
        <w:widowControl/>
        <w:spacing w:after="225" w:line="360" w:lineRule="auto"/>
        <w:jc w:val="both"/>
        <w:rPr>
          <w:sz w:val="28"/>
          <w:szCs w:val="28"/>
          <w:lang w:val="ru-RU"/>
        </w:rPr>
      </w:pPr>
      <w:r>
        <w:rPr>
          <w:color w:val="2D2D2D"/>
          <w:sz w:val="28"/>
          <w:szCs w:val="28"/>
          <w:lang w:val="ru-RU"/>
        </w:rPr>
        <w:tab/>
      </w:r>
      <w:r>
        <w:rPr>
          <w:sz w:val="28"/>
          <w:szCs w:val="28"/>
          <w:lang w:val="ru-RU"/>
        </w:rPr>
        <w:t xml:space="preserve">Выставочный комплекс «Атамань» расположен на территории боле 60 га. Экспозиционная площадь  24 га. Интерес к «Атамани» возрастает с каждым годом. Ежегодно объекты комплекса  посещают более 200 тыс.чел., как россияне, так и гости из-за рубежа. Сотрудники комплекса ежегодно проводят более 700 экскурсий и более 20 массовых мероприятий, среди которых фольклорные фестивали краевого значения, развлекательные и образовательные мероприятия для детей, краеведческие викторины, Дни памяти, познавательные мероприятия для детей и взрослых, направленные на обогащение знаний о истории родного края.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В связи с отсутствием вГАУК КК ВК «Атамань»  стратегического </w:t>
      </w:r>
      <w:r>
        <w:rPr>
          <w:sz w:val="28"/>
          <w:szCs w:val="28"/>
          <w:lang w:val="ru-RU"/>
        </w:rPr>
        <w:lastRenderedPageBreak/>
        <w:t xml:space="preserve">планирования возникла необходимость его разработки как условия успешного функционирования в качестве современного учреждения культуры России.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Государственное учреждение культуры Краснодарского края «Выставочный комплекс «Атамань» разработало Концепцию развития на период до 2023 г. для выявления приоритетных направлений развития, обоснования и конкретизации статей расходования финансовых ресурсов.  В Концепции учтены следующие основополагающие документы: Федеральные законы от 26.05.1996 № 54-ФЗ «О музейном фонде Российской Федерации и музеях в Российской Федерации»; от 25.06.2002 № 73-ФЗ «Об объектах культурного наследия (памятниках истории и культуры) народов Российской Федерации»; Основы государственной культурной политики, утвержденные Указом Президента Российской Федерации от 24.12.2014 № 808; Стратегия государственной культурной политики на период до 2030 года, утвержденная распоряжением Правительства Российской Федерации от 29.02.2016 № 326-р; Государственная программа Российской Федерации «Развитие культуры и туризма (2013–2020 гг.)».</w:t>
      </w:r>
    </w:p>
    <w:p w:rsidR="00742105" w:rsidRDefault="00C76CAA">
      <w:pPr>
        <w:pStyle w:val="aa"/>
        <w:numPr>
          <w:ilvl w:val="1"/>
          <w:numId w:val="2"/>
        </w:numPr>
        <w:jc w:val="center"/>
        <w:rPr>
          <w:rFonts w:ascii="Times New Roman" w:hAnsi="Times New Roman" w:cs="Times New Roman"/>
          <w:b/>
          <w:sz w:val="28"/>
          <w:szCs w:val="28"/>
        </w:rPr>
      </w:pPr>
      <w:r>
        <w:rPr>
          <w:rFonts w:ascii="Times New Roman" w:hAnsi="Times New Roman" w:cs="Times New Roman"/>
          <w:b/>
          <w:sz w:val="28"/>
          <w:szCs w:val="28"/>
        </w:rPr>
        <w:t>Кадровое обеспечение</w:t>
      </w:r>
    </w:p>
    <w:p w:rsidR="00742105" w:rsidRDefault="00742105">
      <w:pPr>
        <w:pStyle w:val="aa"/>
        <w:spacing w:line="360" w:lineRule="auto"/>
        <w:ind w:left="0" w:firstLine="450"/>
        <w:jc w:val="both"/>
        <w:rPr>
          <w:rFonts w:ascii="Times New Roman" w:hAnsi="Times New Roman" w:cs="Times New Roman"/>
          <w:sz w:val="28"/>
          <w:szCs w:val="28"/>
        </w:rPr>
      </w:pP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Общее количество штатных единиц Выставочного комплекса  на 1 мая 2018 г. составляет 93, из них:</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Руководители:</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 директор;</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 заместитель директора;</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 юрисконсульт;</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 специалист по кадрам;</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 делопроизводитель;</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 отдел финансово-экономической работы, учета и отчетности – 10 сотрудников (из них 5 носят сезонный характер);</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lastRenderedPageBreak/>
        <w:t>- отдел культурно-досуговой и экскурсионной работы – 24 сотрудника (из них 21 носят сезонный характер);</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Хозяйственно-технический отдел  - 54 сотрудника (из них 14 носят сезонный характер).</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Кроме того,  более 30 сотрудников комплекса, а именно, смотрители подворий, находятся за штатом. </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Средний возраст сотрудников комплекса  40-45 лет. Штат комплекса более чем на треть  укомплектован сотрудниками, работающими в Атамани длительное время (более 3х лет). Сотрудникам отдела культурно-досуговой и экскурсионной работы (экскурсоводы, методисты, артисты хора) выставочного комплекса проводят лекционные занятия ведущие этнографы и историки Краснодарского края и России, такие как научные сотрудники Научно- исследовательского центра традиционной культуры ГБНТУК КК «Кубанский казачий хор». </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Поскольку оптимизация кадрового состава музея была проведена несколько лет назад, и число сотрудников было снижено, сегодня планируется только раскрывать потенциал имеющихся работников и стимулировать ответственных и эффективных сотрудников. Также, планируется проводить обучающие занятия не только для основных сотрудников, но и для вспомогательного персонала (уборщики территории, охрана). </w:t>
      </w:r>
    </w:p>
    <w:p w:rsidR="00742105" w:rsidRDefault="001B3738">
      <w:pPr>
        <w:pStyle w:val="aa"/>
        <w:spacing w:line="360" w:lineRule="auto"/>
        <w:ind w:firstLine="450"/>
        <w:jc w:val="both"/>
        <w:rPr>
          <w:rFonts w:ascii="Times New Roman" w:hAnsi="Times New Roman" w:cs="Times New Roman"/>
          <w:sz w:val="28"/>
          <w:szCs w:val="28"/>
        </w:rPr>
      </w:pPr>
      <w:r w:rsidRPr="001B3738">
        <w:pict>
          <v:rect id="_x0000_s1044" style="position:absolute;left:0;text-align:left;margin-left:1.5pt;margin-top:19.5pt;width:472.5pt;height:45.15pt;z-index:251649536" strokeweight="0">
            <v:textbox>
              <w:txbxContent>
                <w:p w:rsidR="00742105" w:rsidRDefault="00C76CAA">
                  <w:pPr>
                    <w:pStyle w:val="ac"/>
                    <w:jc w:val="center"/>
                  </w:pPr>
                  <w:r>
                    <w:rPr>
                      <w:rFonts w:ascii="Times New Roman" w:hAnsi="Times New Roman" w:cs="Times New Roman"/>
                      <w:sz w:val="28"/>
                      <w:szCs w:val="28"/>
                    </w:rPr>
                    <w:t>Директор</w:t>
                  </w:r>
                </w:p>
              </w:txbxContent>
            </v:textbox>
          </v:rect>
        </w:pict>
      </w:r>
    </w:p>
    <w:p w:rsidR="00742105" w:rsidRDefault="00742105">
      <w:pPr>
        <w:pStyle w:val="aa"/>
        <w:spacing w:line="360" w:lineRule="auto"/>
        <w:ind w:firstLine="450"/>
        <w:jc w:val="both"/>
        <w:rPr>
          <w:rFonts w:ascii="Times New Roman" w:hAnsi="Times New Roman" w:cs="Times New Roman"/>
          <w:sz w:val="28"/>
          <w:szCs w:val="28"/>
        </w:rPr>
      </w:pPr>
    </w:p>
    <w:p w:rsidR="00742105" w:rsidRDefault="001B3738">
      <w:pPr>
        <w:pStyle w:val="aa"/>
        <w:spacing w:line="360" w:lineRule="auto"/>
        <w:ind w:firstLine="450"/>
        <w:jc w:val="both"/>
        <w:rPr>
          <w:rFonts w:ascii="Times New Roman" w:hAnsi="Times New Roman" w:cs="Times New Roman"/>
          <w:sz w:val="28"/>
          <w:szCs w:val="28"/>
        </w:rPr>
      </w:pPr>
      <w:r>
        <w:rPr>
          <w:rFonts w:ascii="Times New Roman" w:hAnsi="Times New Roman" w:cs="Times New Roman"/>
          <w:sz w:val="28"/>
          <w:szCs w:val="28"/>
        </w:rPr>
        <w:pict>
          <v:shapetype id="shapetype_32" o:spid="_x0000_m1045" coordsize="21600,21600" o:spt="100" adj="0,,0" path="m,l21600,21600nfe">
            <v:stroke joinstyle="miter"/>
            <v:formulas/>
            <v:path gradientshapeok="t" o:connecttype="rect" textboxrect="0,0,21600,21600"/>
          </v:shapetype>
        </w:pict>
      </w:r>
      <w:r>
        <w:rPr>
          <w:rFonts w:ascii="Times New Roman" w:hAnsi="Times New Roman" w:cs="Times New Roman"/>
          <w:sz w:val="28"/>
          <w:szCs w:val="28"/>
        </w:rPr>
        <w:pict>
          <v:shape id="Прямая со стрелкой 4" o:spid="_x0000_s1042" type="#shapetype_32" style="position:absolute;left:0;text-align:left;margin-left:124.8pt;margin-top:15.9pt;width:0;height:51.95pt;z-index:251650560" filled="f" stroked="t" strokecolor="black">
            <v:fill o:detectmouseclick="t"/>
            <v:stroke endarrow="block" endarrowwidth="medium" endarrowlength="medium" joinstyle="round" endcap="flat"/>
          </v:shape>
        </w:pict>
      </w:r>
      <w:r>
        <w:rPr>
          <w:rFonts w:ascii="Times New Roman" w:hAnsi="Times New Roman" w:cs="Times New Roman"/>
          <w:sz w:val="28"/>
          <w:szCs w:val="28"/>
        </w:rPr>
        <w:pict>
          <v:shape id="Прямая со стрелкой 5" o:spid="_x0000_s1041" type="#shapetype_32" style="position:absolute;left:0;text-align:left;margin-left:370.7pt;margin-top:17.3pt;width:0;height:68.1pt;z-index:251651584" filled="f" stroked="t" strokecolor="black">
            <v:fill o:detectmouseclick="t"/>
            <v:stroke endarrow="block" endarrowwidth="medium" endarrowlength="medium" joinstyle="round" endcap="flat"/>
          </v:shape>
        </w:pict>
      </w:r>
      <w:r>
        <w:rPr>
          <w:rFonts w:ascii="Times New Roman" w:hAnsi="Times New Roman" w:cs="Times New Roman"/>
          <w:sz w:val="28"/>
          <w:szCs w:val="28"/>
        </w:rPr>
        <w:pict>
          <v:shape id="Прямая со стрелкой 14" o:spid="_x0000_s1040" type="#shapetype_32" style="position:absolute;left:0;text-align:left;margin-left:311.7pt;margin-top:17.3pt;width:.7pt;height:29.2pt;z-index:251652608" filled="f" stroked="t" strokecolor="black">
            <v:fill o:detectmouseclick="t"/>
            <v:stroke endarrow="block" endarrowwidth="medium" endarrowlength="medium" joinstyle="round" endcap="flat"/>
          </v:shape>
        </w:pict>
      </w:r>
      <w:r>
        <w:rPr>
          <w:rFonts w:ascii="Times New Roman" w:hAnsi="Times New Roman" w:cs="Times New Roman"/>
          <w:sz w:val="28"/>
          <w:szCs w:val="28"/>
        </w:rPr>
        <w:pict>
          <v:shape id="Прямая со стрелкой 1" o:spid="_x0000_s1039" type="#shapetype_32" style="position:absolute;left:0;text-align:left;margin-left:68.9pt;margin-top:16.35pt;width:0;height:21.35pt;z-index:251653632" filled="f" stroked="t" strokecolor="black">
            <v:fill o:detectmouseclick="t"/>
            <v:stroke endarrow="block" endarrowwidth="medium" endarrowlength="medium" joinstyle="round" endcap="flat"/>
          </v:shape>
        </w:pict>
      </w:r>
      <w:r>
        <w:rPr>
          <w:rFonts w:ascii="Times New Roman" w:hAnsi="Times New Roman" w:cs="Times New Roman"/>
          <w:sz w:val="28"/>
          <w:szCs w:val="28"/>
        </w:rPr>
        <w:pict>
          <v:shape id="Прямая со стрелкой 12" o:spid="_x0000_s1038" type="#shapetype_32" style="position:absolute;left:0;text-align:left;margin-left:9.95pt;margin-top:17.3pt;width:8.25pt;height:51.95pt;flip:x;z-index:251654656" filled="f" stroked="t" strokecolor="black">
            <v:fill o:detectmouseclick="t"/>
            <v:stroke endarrow="block" endarrowwidth="medium" endarrowlength="medium" joinstyle="round" endcap="flat"/>
          </v:shape>
        </w:pict>
      </w:r>
      <w:r>
        <w:rPr>
          <w:rFonts w:ascii="Times New Roman" w:hAnsi="Times New Roman" w:cs="Times New Roman"/>
          <w:sz w:val="28"/>
          <w:szCs w:val="28"/>
        </w:rPr>
        <w:pict>
          <v:shape id="Прямая со стрелкой 17" o:spid="_x0000_s1037" type="#shapetype_32" style="position:absolute;left:0;text-align:left;margin-left:438.1pt;margin-top:17.3pt;width:22.15pt;height:21.35pt;z-index:251655680" filled="f" stroked="t" strokecolor="black">
            <v:fill o:detectmouseclick="t"/>
            <v:stroke endarrow="open" endarrowwidth="medium" endarrowlength="medium" joinstyle="round" endcap="flat"/>
          </v:shape>
        </w:pict>
      </w:r>
      <w:r>
        <w:rPr>
          <w:rFonts w:ascii="Times New Roman" w:hAnsi="Times New Roman" w:cs="Times New Roman"/>
          <w:sz w:val="28"/>
          <w:szCs w:val="28"/>
        </w:rPr>
        <w:pict>
          <v:shape id="shape_0" o:spid="_x0000_s1036" type="#shapetype_32" style="position:absolute;left:0;text-align:left;margin-left:212.9pt;margin-top:17.3pt;width:0;height:21.35pt;z-index:251656704" filled="f" stroked="t" strokecolor="black">
            <v:fill o:detectmouseclick="t"/>
            <v:stroke endarrow="block" endarrowwidth="medium" endarrowlength="medium" joinstyle="round" endcap="flat"/>
          </v:shape>
        </w:pict>
      </w:r>
    </w:p>
    <w:p w:rsidR="00742105" w:rsidRDefault="001B3738">
      <w:pPr>
        <w:pStyle w:val="aa"/>
        <w:spacing w:line="360" w:lineRule="auto"/>
        <w:ind w:firstLine="450"/>
        <w:jc w:val="both"/>
        <w:rPr>
          <w:rFonts w:ascii="Times New Roman" w:hAnsi="Times New Roman" w:cs="Times New Roman"/>
          <w:sz w:val="28"/>
          <w:szCs w:val="28"/>
        </w:rPr>
      </w:pPr>
      <w:r>
        <w:rPr>
          <w:rFonts w:ascii="Times New Roman" w:hAnsi="Times New Roman" w:cs="Times New Roman"/>
          <w:sz w:val="28"/>
          <w:szCs w:val="28"/>
        </w:rPr>
        <w:pict>
          <v:shape id="Прямая со стрелкой 8" o:spid="_x0000_s1035" type="#shapetype_32" style="position:absolute;left:0;text-align:left;margin-left:568.05pt;margin-top:43.75pt;width:.7pt;height:25.45pt;z-index:251657728" filled="f" stroked="t" strokecolor="black">
            <v:fill o:detectmouseclick="t"/>
            <v:stroke endarrow="block" endarrowwidth="medium" endarrowlength="medium" joinstyle="round" endcap="flat"/>
          </v:shape>
        </w:pict>
      </w:r>
      <w:r>
        <w:rPr>
          <w:rFonts w:ascii="Times New Roman" w:hAnsi="Times New Roman" w:cs="Times New Roman"/>
          <w:sz w:val="28"/>
          <w:szCs w:val="28"/>
        </w:rPr>
        <w:pict>
          <v:shape id="Прямая со стрелкой 13" o:spid="_x0000_s1034" type="#shapetype_32" style="position:absolute;left:0;text-align:left;margin-left:659.55pt;margin-top:43.75pt;width:26.2pt;height:71.2pt;z-index:251658752" filled="f" stroked="t" strokecolor="black">
            <v:fill o:detectmouseclick="t"/>
            <v:stroke endarrow="block" endarrowwidth="medium" endarrowlength="medium" joinstyle="round" endcap="flat"/>
          </v:shape>
        </w:pict>
      </w:r>
      <w:r w:rsidRPr="001B3738">
        <w:pict>
          <v:rect id="_x0000_s1033" style="position:absolute;left:0;text-align:left;margin-left:267.25pt;margin-top:22.4pt;width:78.15pt;height:33.7pt;z-index:251659776" strokeweight="0">
            <v:textbox>
              <w:txbxContent>
                <w:p w:rsidR="00742105" w:rsidRDefault="00C76CAA">
                  <w:pPr>
                    <w:pStyle w:val="ac"/>
                    <w:jc w:val="center"/>
                  </w:pPr>
                  <w:r>
                    <w:rPr>
                      <w:rFonts w:ascii="Times New Roman" w:hAnsi="Times New Roman" w:cs="Times New Roman"/>
                      <w:sz w:val="20"/>
                      <w:szCs w:val="20"/>
                    </w:rPr>
                    <w:t>Специалист      по кадрам</w:t>
                  </w:r>
                </w:p>
              </w:txbxContent>
            </v:textbox>
          </v:rect>
        </w:pict>
      </w:r>
      <w:r w:rsidRPr="001B3738">
        <w:pict>
          <v:rect id="_x0000_s1032" style="position:absolute;left:0;text-align:left;margin-left:608.55pt;margin-top:115pt;width:141pt;height:66.75pt;z-index:251660800" strokeweight="0">
            <v:textbox>
              <w:txbxContent>
                <w:p w:rsidR="00742105" w:rsidRDefault="00C76CAA">
                  <w:pPr>
                    <w:pStyle w:val="ac"/>
                    <w:jc w:val="center"/>
                  </w:pPr>
                  <w:r>
                    <w:rPr>
                      <w:rFonts w:ascii="Times New Roman" w:hAnsi="Times New Roman" w:cs="Times New Roman"/>
                      <w:sz w:val="28"/>
                      <w:szCs w:val="28"/>
                    </w:rPr>
                    <w:t>Хозяйственно-технический отдел (30 чел.)</w:t>
                  </w:r>
                </w:p>
              </w:txbxContent>
            </v:textbox>
          </v:rect>
        </w:pict>
      </w:r>
      <w:r w:rsidRPr="001B3738">
        <w:pict>
          <v:rect id="_x0000_s1031" style="position:absolute;left:0;text-align:left;margin-left:29.1pt;margin-top:13.6pt;width:80.4pt;height:21.4pt;z-index:251661824" strokeweight="0">
            <v:textbox>
              <w:txbxContent>
                <w:p w:rsidR="00742105" w:rsidRDefault="00C76CAA">
                  <w:pPr>
                    <w:pStyle w:val="ac"/>
                    <w:jc w:val="center"/>
                  </w:pPr>
                  <w:r>
                    <w:rPr>
                      <w:rFonts w:ascii="Times New Roman" w:hAnsi="Times New Roman" w:cs="Times New Roman"/>
                      <w:sz w:val="20"/>
                      <w:szCs w:val="20"/>
                    </w:rPr>
                    <w:t>Юрисконсульт</w:t>
                  </w:r>
                </w:p>
              </w:txbxContent>
            </v:textbox>
          </v:rect>
        </w:pict>
      </w:r>
      <w:r w:rsidRPr="001B3738">
        <w:pict>
          <v:rect id="_x0000_s1030" style="position:absolute;left:0;text-align:left;margin-left:382.25pt;margin-top:14.55pt;width:101pt;height:28.5pt;z-index:251662848" strokeweight="0">
            <v:textbox>
              <w:txbxContent>
                <w:p w:rsidR="00742105" w:rsidRDefault="00C76CAA">
                  <w:pPr>
                    <w:pStyle w:val="ac"/>
                  </w:pPr>
                  <w:r>
                    <w:rPr>
                      <w:rFonts w:ascii="Times New Roman" w:hAnsi="Times New Roman" w:cs="Times New Roman"/>
                      <w:sz w:val="20"/>
                      <w:szCs w:val="20"/>
                    </w:rPr>
                    <w:t>Делопроизводитель</w:t>
                  </w:r>
                </w:p>
              </w:txbxContent>
            </v:textbox>
          </v:rect>
        </w:pict>
      </w:r>
      <w:r w:rsidRPr="001B3738">
        <w:pict>
          <v:rect id="_x0000_s1029" style="position:absolute;left:0;text-align:left;margin-left:176.95pt;margin-top:14.55pt;width:81.15pt;height:46.85pt;z-index:251663872" strokeweight="0">
            <v:textbox>
              <w:txbxContent>
                <w:p w:rsidR="00742105" w:rsidRDefault="00C76CAA">
                  <w:pPr>
                    <w:pStyle w:val="ac"/>
                    <w:jc w:val="center"/>
                  </w:pPr>
                  <w:r>
                    <w:rPr>
                      <w:rFonts w:ascii="Times New Roman" w:hAnsi="Times New Roman" w:cs="Times New Roman"/>
                      <w:sz w:val="20"/>
                      <w:szCs w:val="20"/>
                    </w:rPr>
                    <w:t>Хозяйственно-технический отдел</w:t>
                  </w:r>
                </w:p>
              </w:txbxContent>
            </v:textbox>
          </v:rect>
        </w:pict>
      </w:r>
    </w:p>
    <w:p w:rsidR="00742105" w:rsidRDefault="001B3738">
      <w:pPr>
        <w:pStyle w:val="aa"/>
        <w:spacing w:line="360" w:lineRule="auto"/>
        <w:ind w:left="0" w:firstLine="450"/>
        <w:jc w:val="both"/>
        <w:rPr>
          <w:rFonts w:ascii="Times New Roman" w:hAnsi="Times New Roman" w:cs="Times New Roman"/>
          <w:sz w:val="28"/>
          <w:szCs w:val="28"/>
        </w:rPr>
      </w:pPr>
      <w:r w:rsidRPr="001B3738">
        <w:pict>
          <v:rect id="_x0000_s1028" style="position:absolute;left:0;text-align:left;margin-left:-29.8pt;margin-top:20.95pt;width:71.95pt;height:31.4pt;z-index:251664896" strokeweight="0">
            <v:textbox>
              <w:txbxContent>
                <w:p w:rsidR="00742105" w:rsidRDefault="00C76CAA">
                  <w:pPr>
                    <w:pStyle w:val="ac"/>
                    <w:jc w:val="center"/>
                  </w:pPr>
                  <w:r>
                    <w:rPr>
                      <w:rFonts w:ascii="Times New Roman" w:hAnsi="Times New Roman" w:cs="Times New Roman"/>
                      <w:sz w:val="20"/>
                      <w:szCs w:val="20"/>
                    </w:rPr>
                    <w:t>Заместитель директора</w:t>
                  </w:r>
                </w:p>
              </w:txbxContent>
            </v:textbox>
          </v:rect>
        </w:pict>
      </w:r>
      <w:r w:rsidRPr="001B3738">
        <w:pict>
          <v:rect id="_x0000_s1027" style="position:absolute;left:0;text-align:left;margin-left:62.75pt;margin-top:18.1pt;width:104.15pt;height:58.2pt;z-index:251665920" strokeweight="0">
            <v:textbox>
              <w:txbxContent>
                <w:p w:rsidR="00742105" w:rsidRDefault="00C76CAA">
                  <w:pPr>
                    <w:pStyle w:val="ac"/>
                    <w:jc w:val="center"/>
                  </w:pPr>
                  <w:r>
                    <w:rPr>
                      <w:rFonts w:ascii="Times New Roman" w:hAnsi="Times New Roman" w:cs="Times New Roman"/>
                      <w:sz w:val="20"/>
                      <w:szCs w:val="20"/>
                    </w:rPr>
                    <w:t>Отдел культурно-досуговой и экскурсионной работы (3 чел.)</w:t>
                  </w:r>
                </w:p>
              </w:txbxContent>
            </v:textbox>
          </v:rect>
        </w:pict>
      </w:r>
    </w:p>
    <w:p w:rsidR="00742105" w:rsidRDefault="001B3738">
      <w:pPr>
        <w:pStyle w:val="aa"/>
        <w:spacing w:line="360" w:lineRule="auto"/>
        <w:ind w:left="0" w:firstLine="450"/>
        <w:jc w:val="both"/>
        <w:rPr>
          <w:rFonts w:ascii="Times New Roman" w:hAnsi="Times New Roman" w:cs="Times New Roman"/>
          <w:sz w:val="28"/>
          <w:szCs w:val="28"/>
        </w:rPr>
      </w:pPr>
      <w:r w:rsidRPr="001B3738">
        <w:pict>
          <v:rect id="_x0000_s1026" style="position:absolute;left:0;text-align:left;margin-left:326.3pt;margin-top:13pt;width:111.8pt;height:59pt;z-index:251666944" strokeweight="0">
            <v:textbox>
              <w:txbxContent>
                <w:p w:rsidR="00742105" w:rsidRDefault="00C76CAA">
                  <w:pPr>
                    <w:pStyle w:val="ac"/>
                    <w:jc w:val="center"/>
                  </w:pPr>
                  <w:r>
                    <w:rPr>
                      <w:rFonts w:ascii="Times New Roman" w:hAnsi="Times New Roman" w:cs="Times New Roman"/>
                      <w:sz w:val="20"/>
                      <w:szCs w:val="20"/>
                    </w:rPr>
                    <w:t>Отдел финансово-экономической работы, учета и отчетности  (5 чел.)</w:t>
                  </w:r>
                </w:p>
              </w:txbxContent>
            </v:textbox>
          </v:rect>
        </w:pict>
      </w:r>
    </w:p>
    <w:p w:rsidR="00742105" w:rsidRDefault="00742105">
      <w:pPr>
        <w:spacing w:line="360" w:lineRule="auto"/>
        <w:jc w:val="both"/>
        <w:rPr>
          <w:rFonts w:ascii="Times New Roman" w:hAnsi="Times New Roman" w:cs="Times New Roman"/>
          <w:sz w:val="28"/>
          <w:szCs w:val="28"/>
        </w:rPr>
      </w:pPr>
    </w:p>
    <w:p w:rsidR="00742105" w:rsidRDefault="00742105">
      <w:pPr>
        <w:spacing w:line="360" w:lineRule="auto"/>
        <w:jc w:val="center"/>
        <w:rPr>
          <w:rFonts w:ascii="Times New Roman" w:hAnsi="Times New Roman" w:cs="Times New Roman"/>
          <w:b/>
          <w:sz w:val="28"/>
          <w:szCs w:val="28"/>
        </w:rPr>
      </w:pPr>
    </w:p>
    <w:p w:rsidR="00742105" w:rsidRDefault="00C76CAA">
      <w:pPr>
        <w:pStyle w:val="aa"/>
        <w:numPr>
          <w:ilvl w:val="1"/>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Посещаемость</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За последние годы посещаемость комплекса  неуклонно снижалась.Его постоянными посетителями оставались  организованные группы школьников, группы посетителей, организованные туристическими фирмами, семьи, общественные организации, группы от промышленных предприятий и ведомственных структур, а также   любители русского-народного  и кубанского фольклора. </w:t>
      </w:r>
    </w:p>
    <w:p w:rsidR="00742105" w:rsidRDefault="00742105">
      <w:pPr>
        <w:pStyle w:val="aa"/>
        <w:spacing w:line="360" w:lineRule="auto"/>
        <w:ind w:left="0" w:firstLine="450"/>
        <w:jc w:val="both"/>
        <w:rPr>
          <w:rFonts w:ascii="Times New Roman" w:hAnsi="Times New Roman" w:cs="Times New Roman"/>
          <w:sz w:val="28"/>
          <w:szCs w:val="28"/>
        </w:rPr>
      </w:pPr>
    </w:p>
    <w:tbl>
      <w:tblPr>
        <w:tblStyle w:val="ad"/>
        <w:tblW w:w="9571" w:type="dxa"/>
        <w:tblLook w:val="04A0"/>
      </w:tblPr>
      <w:tblGrid>
        <w:gridCol w:w="674"/>
        <w:gridCol w:w="3154"/>
        <w:gridCol w:w="1914"/>
        <w:gridCol w:w="1914"/>
        <w:gridCol w:w="1915"/>
      </w:tblGrid>
      <w:tr w:rsidR="00742105">
        <w:tc>
          <w:tcPr>
            <w:tcW w:w="67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w:t>
            </w:r>
          </w:p>
          <w:p w:rsidR="00742105" w:rsidRDefault="00C76CAA">
            <w:pPr>
              <w:pStyle w:val="aa"/>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п/п</w:t>
            </w:r>
          </w:p>
        </w:tc>
        <w:tc>
          <w:tcPr>
            <w:tcW w:w="315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Категории посетителей</w:t>
            </w:r>
          </w:p>
        </w:tc>
        <w:tc>
          <w:tcPr>
            <w:tcW w:w="191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2015 год</w:t>
            </w:r>
          </w:p>
        </w:tc>
        <w:tc>
          <w:tcPr>
            <w:tcW w:w="191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2016 год</w:t>
            </w:r>
          </w:p>
        </w:tc>
        <w:tc>
          <w:tcPr>
            <w:tcW w:w="1915"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2017 год</w:t>
            </w:r>
          </w:p>
        </w:tc>
      </w:tr>
      <w:tr w:rsidR="00742105">
        <w:tc>
          <w:tcPr>
            <w:tcW w:w="67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315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Общее количество посетителей</w:t>
            </w:r>
          </w:p>
        </w:tc>
        <w:tc>
          <w:tcPr>
            <w:tcW w:w="191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193239 чел.</w:t>
            </w:r>
          </w:p>
        </w:tc>
        <w:tc>
          <w:tcPr>
            <w:tcW w:w="191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171148 чел.</w:t>
            </w:r>
          </w:p>
        </w:tc>
        <w:tc>
          <w:tcPr>
            <w:tcW w:w="1915"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141269 чел.</w:t>
            </w:r>
          </w:p>
        </w:tc>
      </w:tr>
      <w:tr w:rsidR="00742105">
        <w:tc>
          <w:tcPr>
            <w:tcW w:w="67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315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Взрослые</w:t>
            </w:r>
          </w:p>
        </w:tc>
        <w:tc>
          <w:tcPr>
            <w:tcW w:w="191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109509 чел.</w:t>
            </w:r>
          </w:p>
        </w:tc>
        <w:tc>
          <w:tcPr>
            <w:tcW w:w="191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104220 чел.</w:t>
            </w:r>
          </w:p>
        </w:tc>
        <w:tc>
          <w:tcPr>
            <w:tcW w:w="1915"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88477 чел.</w:t>
            </w:r>
          </w:p>
        </w:tc>
      </w:tr>
      <w:tr w:rsidR="00742105">
        <w:tc>
          <w:tcPr>
            <w:tcW w:w="67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315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Дети с 7 до 14 лет</w:t>
            </w:r>
          </w:p>
        </w:tc>
        <w:tc>
          <w:tcPr>
            <w:tcW w:w="191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24701 чел.</w:t>
            </w:r>
          </w:p>
        </w:tc>
        <w:tc>
          <w:tcPr>
            <w:tcW w:w="191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23193 чел.</w:t>
            </w:r>
          </w:p>
        </w:tc>
        <w:tc>
          <w:tcPr>
            <w:tcW w:w="1915"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23173 чел.</w:t>
            </w:r>
          </w:p>
        </w:tc>
      </w:tr>
      <w:tr w:rsidR="00742105">
        <w:tc>
          <w:tcPr>
            <w:tcW w:w="67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4</w:t>
            </w:r>
          </w:p>
        </w:tc>
        <w:tc>
          <w:tcPr>
            <w:tcW w:w="315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Экскурсионные билеты</w:t>
            </w:r>
          </w:p>
        </w:tc>
        <w:tc>
          <w:tcPr>
            <w:tcW w:w="191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6216 чел.</w:t>
            </w:r>
          </w:p>
        </w:tc>
        <w:tc>
          <w:tcPr>
            <w:tcW w:w="191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10956 чел.</w:t>
            </w:r>
          </w:p>
        </w:tc>
        <w:tc>
          <w:tcPr>
            <w:tcW w:w="1915"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7253 чел.</w:t>
            </w:r>
          </w:p>
        </w:tc>
      </w:tr>
      <w:tr w:rsidR="00742105">
        <w:tc>
          <w:tcPr>
            <w:tcW w:w="67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5</w:t>
            </w:r>
          </w:p>
        </w:tc>
        <w:tc>
          <w:tcPr>
            <w:tcW w:w="315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Экскурсионные билеты (детские с 7 до 14 лет)</w:t>
            </w:r>
          </w:p>
        </w:tc>
        <w:tc>
          <w:tcPr>
            <w:tcW w:w="191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4768 чел.</w:t>
            </w:r>
          </w:p>
        </w:tc>
        <w:tc>
          <w:tcPr>
            <w:tcW w:w="1914"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5793 чел.</w:t>
            </w:r>
          </w:p>
        </w:tc>
        <w:tc>
          <w:tcPr>
            <w:tcW w:w="1915" w:type="dxa"/>
            <w:shd w:val="clear" w:color="auto" w:fill="auto"/>
            <w:tcMar>
              <w:left w:w="108" w:type="dxa"/>
            </w:tcMar>
          </w:tcPr>
          <w:p w:rsidR="00742105" w:rsidRDefault="00C76CAA">
            <w:pPr>
              <w:pStyle w:val="aa"/>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2168 чел.</w:t>
            </w:r>
          </w:p>
        </w:tc>
      </w:tr>
    </w:tbl>
    <w:p w:rsidR="00742105" w:rsidRDefault="00742105">
      <w:pPr>
        <w:pStyle w:val="aa"/>
        <w:spacing w:line="360" w:lineRule="auto"/>
        <w:ind w:left="0" w:firstLine="450"/>
        <w:jc w:val="center"/>
        <w:rPr>
          <w:rFonts w:ascii="Times New Roman" w:hAnsi="Times New Roman" w:cs="Times New Roman"/>
          <w:b/>
          <w:sz w:val="28"/>
          <w:szCs w:val="28"/>
        </w:rPr>
      </w:pPr>
    </w:p>
    <w:p w:rsidR="00742105" w:rsidRDefault="00742105">
      <w:pPr>
        <w:pStyle w:val="aa"/>
        <w:spacing w:line="360" w:lineRule="auto"/>
        <w:ind w:left="0" w:firstLine="450"/>
        <w:jc w:val="center"/>
        <w:rPr>
          <w:rFonts w:ascii="Times New Roman" w:hAnsi="Times New Roman" w:cs="Times New Roman"/>
          <w:b/>
          <w:sz w:val="28"/>
          <w:szCs w:val="28"/>
        </w:rPr>
      </w:pPr>
    </w:p>
    <w:p w:rsidR="00742105" w:rsidRDefault="00C76CAA">
      <w:pPr>
        <w:pStyle w:val="aa"/>
        <w:numPr>
          <w:ilvl w:val="1"/>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Основные проблемы комплекса.</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В рамках разработки Стратегии были выявлены следующие проблемы:</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сезонный характер работы выставочного комплекса;</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проблема дефицита квалифицированных кадров;</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нехватка помещений для размещения сотрудников;</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слабое развитие инфраструктуры приема посетителей;</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недостаточное внедрение информационных технологий (мультимедийное оборудование для виртуальных экскурсий, аудио гиды);</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часть сотрудников комплекса (смотрители подворий) трудоустроены вне штата, что вызывает определенные трудности в процессе взаимодействия и разрешения многих рабочих вопросов;</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слабое использование потенциала комплекса, как развлекательной площадки;</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слабое использование потенциала комплекса, как музея, в котором собраны предметы старины, имеющие историческую ценность;</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проблема недостаточного водоснабжения, в связи с географическим положением комплекса и удаленностью от основных магистралей водоснабжения;</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проблема недостаточного озеленения, в виду нахождения комплекса под открытым небом и перебоями водоснабжения;</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Стратегия предлагает пути решения указанных проблем, а также внедрение новых подходов и методов  работы.</w:t>
      </w:r>
    </w:p>
    <w:p w:rsidR="00742105" w:rsidRDefault="00742105">
      <w:pPr>
        <w:pStyle w:val="aa"/>
        <w:spacing w:line="360" w:lineRule="auto"/>
        <w:ind w:left="0"/>
        <w:jc w:val="both"/>
        <w:rPr>
          <w:rFonts w:ascii="Times New Roman" w:hAnsi="Times New Roman" w:cs="Times New Roman"/>
          <w:sz w:val="28"/>
          <w:szCs w:val="28"/>
        </w:rPr>
      </w:pPr>
    </w:p>
    <w:p w:rsidR="00742105" w:rsidRDefault="00C76CAA">
      <w:pPr>
        <w:pStyle w:val="aa"/>
        <w:numPr>
          <w:ilvl w:val="0"/>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Миссия</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Выставочный комплекс «Атамань» несет в себе просветительские функции, а также укрепляет духовное единство и мир народов Краснодарского края. Вся его деятельность направлена на сохранение и развитие национальных культурных традиций, родного языка, изучения истории, быта казаков, возрождения фольклора. «Атамань» стала объединяющим культурным центром для районов Краснодарского края.</w:t>
      </w:r>
    </w:p>
    <w:p w:rsidR="00742105" w:rsidRDefault="00C76CAA">
      <w:pPr>
        <w:pStyle w:val="aa"/>
        <w:spacing w:line="360" w:lineRule="auto"/>
        <w:ind w:left="0" w:firstLine="450"/>
        <w:jc w:val="both"/>
        <w:rPr>
          <w:rFonts w:ascii="Times New Roman" w:hAnsi="Times New Roman" w:cs="Times New Roman"/>
          <w:sz w:val="28"/>
          <w:szCs w:val="28"/>
        </w:rPr>
      </w:pPr>
      <w:r>
        <w:rPr>
          <w:rFonts w:ascii="Times New Roman" w:hAnsi="Times New Roman" w:cs="Times New Roman"/>
          <w:sz w:val="28"/>
          <w:szCs w:val="28"/>
        </w:rPr>
        <w:t>Большое внимание сотрудники «Атамани» уделяют проведению мероприятий, формирующих этнокультурное мировоззрение у детей и молодежи. Особое внимание уделяется мероприятиям, на которых школьники могут закрепить знания, полученные на уроках Кубановедения, а также поближе познакомиться с традиционными ремеслами Кубани, со старинными казачьими обрядами, поучаствовать в мастер - классах и познавательно- развлекательных программах.</w:t>
      </w:r>
    </w:p>
    <w:p w:rsidR="00742105" w:rsidRDefault="00742105">
      <w:pPr>
        <w:pStyle w:val="aa"/>
        <w:spacing w:line="360" w:lineRule="auto"/>
        <w:ind w:left="0"/>
        <w:jc w:val="both"/>
        <w:rPr>
          <w:rFonts w:ascii="Times New Roman" w:hAnsi="Times New Roman" w:cs="Times New Roman"/>
          <w:sz w:val="28"/>
          <w:szCs w:val="28"/>
        </w:rPr>
      </w:pPr>
    </w:p>
    <w:p w:rsidR="00742105" w:rsidRDefault="00C76CAA">
      <w:pPr>
        <w:pStyle w:val="aa"/>
        <w:numPr>
          <w:ilvl w:val="0"/>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Стратегические цели</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Адаптация комплекса к меняющимся условиям социально-экономической </w:t>
      </w:r>
      <w:r>
        <w:rPr>
          <w:rFonts w:ascii="Times New Roman" w:hAnsi="Times New Roman" w:cs="Times New Roman"/>
          <w:sz w:val="28"/>
          <w:szCs w:val="28"/>
        </w:rPr>
        <w:tab/>
        <w:t>и культурной жизни современного общества;</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Становление Атамани   в качестве высокотехнологичного выставочного  комплекса, использующего современные достижения музейного дела, с развитой сервисной инфраструктурой;</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Развитие комплекса, как крупнейшего центра историко- патриотического воспитания в Южном федеральном округе с активным вовлечением в массово-просветительскую, образовательную и культурную работу студенческой молодежи;</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Выход Выставочного комплекса на самоокупаемость;</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Становление Атамани, как  крупнейшей развлекательной площадки Краснодарского края.</w:t>
      </w:r>
    </w:p>
    <w:p w:rsidR="00742105" w:rsidRDefault="00742105">
      <w:pPr>
        <w:pStyle w:val="aa"/>
        <w:spacing w:line="360" w:lineRule="auto"/>
        <w:ind w:left="0"/>
        <w:jc w:val="both"/>
        <w:rPr>
          <w:rFonts w:ascii="Times New Roman" w:hAnsi="Times New Roman" w:cs="Times New Roman"/>
          <w:sz w:val="28"/>
          <w:szCs w:val="28"/>
        </w:rPr>
      </w:pPr>
    </w:p>
    <w:p w:rsidR="00742105" w:rsidRDefault="00C76CAA">
      <w:pPr>
        <w:pStyle w:val="aa"/>
        <w:numPr>
          <w:ilvl w:val="0"/>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Стратегические задачи.</w:t>
      </w:r>
    </w:p>
    <w:p w:rsidR="00742105" w:rsidRDefault="00C76CAA">
      <w:pPr>
        <w:spacing w:line="360" w:lineRule="auto"/>
        <w:jc w:val="both"/>
        <w:rPr>
          <w:rFonts w:ascii="Times New Roman" w:hAnsi="Times New Roman" w:cs="Times New Roman"/>
          <w:sz w:val="28"/>
          <w:szCs w:val="28"/>
        </w:rPr>
      </w:pPr>
      <w:r>
        <w:rPr>
          <w:rFonts w:ascii="Times New Roman" w:hAnsi="Times New Roman" w:cs="Times New Roman"/>
          <w:sz w:val="28"/>
          <w:szCs w:val="28"/>
        </w:rPr>
        <w:t>- Расширение аудитории;</w:t>
      </w:r>
    </w:p>
    <w:p w:rsidR="00742105" w:rsidRDefault="00C76CAA">
      <w:pPr>
        <w:spacing w:line="360" w:lineRule="auto"/>
        <w:jc w:val="both"/>
        <w:rPr>
          <w:rFonts w:ascii="Times New Roman" w:hAnsi="Times New Roman" w:cs="Times New Roman"/>
          <w:sz w:val="28"/>
          <w:szCs w:val="28"/>
        </w:rPr>
      </w:pPr>
      <w:r>
        <w:rPr>
          <w:rFonts w:ascii="Times New Roman" w:hAnsi="Times New Roman" w:cs="Times New Roman"/>
          <w:sz w:val="28"/>
          <w:szCs w:val="28"/>
        </w:rPr>
        <w:t>- Научная и экспозиционная деятельность (обеспечение сохранности выставочных экспонатов комплекса, несущих в себе историческую ценность, их изучение и обобщение; обеспечение сохранности объектов комплекса);</w:t>
      </w:r>
    </w:p>
    <w:p w:rsidR="00742105" w:rsidRDefault="00C76CAA">
      <w:pPr>
        <w:spacing w:line="360" w:lineRule="auto"/>
        <w:jc w:val="both"/>
        <w:rPr>
          <w:rFonts w:ascii="Times New Roman" w:hAnsi="Times New Roman" w:cs="Times New Roman"/>
          <w:sz w:val="28"/>
          <w:szCs w:val="28"/>
        </w:rPr>
      </w:pPr>
      <w:r>
        <w:rPr>
          <w:rFonts w:ascii="Times New Roman" w:hAnsi="Times New Roman" w:cs="Times New Roman"/>
          <w:sz w:val="28"/>
          <w:szCs w:val="28"/>
        </w:rPr>
        <w:t>- Финансовая политика;</w:t>
      </w:r>
    </w:p>
    <w:p w:rsidR="00742105" w:rsidRDefault="00C76CAA">
      <w:pPr>
        <w:spacing w:line="360" w:lineRule="auto"/>
        <w:jc w:val="both"/>
        <w:rPr>
          <w:rFonts w:ascii="Times New Roman" w:hAnsi="Times New Roman" w:cs="Times New Roman"/>
          <w:sz w:val="28"/>
          <w:szCs w:val="28"/>
        </w:rPr>
      </w:pPr>
      <w:r>
        <w:rPr>
          <w:rFonts w:ascii="Times New Roman" w:hAnsi="Times New Roman" w:cs="Times New Roman"/>
          <w:sz w:val="28"/>
          <w:szCs w:val="28"/>
        </w:rPr>
        <w:t>- Кадровая политика;</w:t>
      </w:r>
    </w:p>
    <w:p w:rsidR="00742105" w:rsidRDefault="00C76CAA">
      <w:pPr>
        <w:spacing w:line="360" w:lineRule="auto"/>
        <w:jc w:val="both"/>
        <w:rPr>
          <w:rFonts w:ascii="Times New Roman" w:hAnsi="Times New Roman" w:cs="Times New Roman"/>
          <w:sz w:val="28"/>
          <w:szCs w:val="28"/>
        </w:rPr>
      </w:pPr>
      <w:r>
        <w:rPr>
          <w:rFonts w:ascii="Times New Roman" w:hAnsi="Times New Roman" w:cs="Times New Roman"/>
          <w:sz w:val="28"/>
          <w:szCs w:val="28"/>
        </w:rPr>
        <w:t>- Продвижение (разработка и внедрение новых подходов к экскурсионной деятельности, интеграция комплекса в систему внутреннего туризма РФ как крупного туристического центра, внедрение информационных технологий, использование потенциала комплекса, как развлекательной площадки);</w:t>
      </w:r>
    </w:p>
    <w:p w:rsidR="00742105" w:rsidRDefault="00C76CAA">
      <w:pPr>
        <w:spacing w:line="360" w:lineRule="auto"/>
        <w:jc w:val="both"/>
        <w:rPr>
          <w:rFonts w:ascii="Times New Roman" w:hAnsi="Times New Roman" w:cs="Times New Roman"/>
          <w:sz w:val="28"/>
          <w:szCs w:val="28"/>
        </w:rPr>
      </w:pPr>
      <w:r>
        <w:rPr>
          <w:rFonts w:ascii="Times New Roman" w:hAnsi="Times New Roman" w:cs="Times New Roman"/>
          <w:sz w:val="28"/>
          <w:szCs w:val="28"/>
        </w:rPr>
        <w:t>- Развитие инфраструктуры приема посетителей;</w:t>
      </w:r>
    </w:p>
    <w:p w:rsidR="00742105" w:rsidRDefault="00C76CAA">
      <w:pPr>
        <w:spacing w:line="360" w:lineRule="auto"/>
        <w:jc w:val="both"/>
        <w:rPr>
          <w:rFonts w:ascii="Times New Roman" w:hAnsi="Times New Roman" w:cs="Times New Roman"/>
          <w:sz w:val="28"/>
          <w:szCs w:val="28"/>
        </w:rPr>
      </w:pPr>
      <w:r>
        <w:rPr>
          <w:rFonts w:ascii="Times New Roman" w:hAnsi="Times New Roman" w:cs="Times New Roman"/>
          <w:sz w:val="28"/>
          <w:szCs w:val="28"/>
        </w:rPr>
        <w:t>- Реализация новых проектов (постройка гостиницы и открытие конно-спортивной школы);</w:t>
      </w:r>
    </w:p>
    <w:p w:rsidR="00742105" w:rsidRDefault="00C76CAA">
      <w:pPr>
        <w:spacing w:line="360" w:lineRule="auto"/>
        <w:jc w:val="both"/>
        <w:rPr>
          <w:rFonts w:ascii="Times New Roman" w:hAnsi="Times New Roman" w:cs="Times New Roman"/>
          <w:sz w:val="28"/>
          <w:szCs w:val="28"/>
        </w:rPr>
      </w:pPr>
      <w:r>
        <w:rPr>
          <w:rFonts w:ascii="Times New Roman" w:hAnsi="Times New Roman" w:cs="Times New Roman"/>
          <w:sz w:val="28"/>
          <w:szCs w:val="28"/>
        </w:rPr>
        <w:t>- Создание современной системы безопасности объектов комплекса;</w:t>
      </w:r>
    </w:p>
    <w:p w:rsidR="00742105" w:rsidRDefault="00C76CA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Замена и модернизация инженерно-технических сетей комплекса.</w:t>
      </w:r>
    </w:p>
    <w:p w:rsidR="00742105" w:rsidRDefault="00C76CAA">
      <w:pPr>
        <w:pStyle w:val="aa"/>
        <w:spacing w:line="360" w:lineRule="auto"/>
        <w:jc w:val="center"/>
        <w:rPr>
          <w:rFonts w:ascii="Times New Roman" w:hAnsi="Times New Roman" w:cs="Times New Roman"/>
          <w:b/>
          <w:sz w:val="28"/>
          <w:szCs w:val="28"/>
        </w:rPr>
      </w:pPr>
      <w:r>
        <w:rPr>
          <w:rFonts w:ascii="Times New Roman" w:hAnsi="Times New Roman" w:cs="Times New Roman"/>
          <w:b/>
          <w:sz w:val="28"/>
          <w:szCs w:val="28"/>
        </w:rPr>
        <w:t>4.1. Расширение аудитории</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Спецификой посещаемости комплекса является подверженность сезонным колебаниям. Наивысший показатель посещаемости приходится на летние месяцы, когда комплекс выполняет функцию одного из самых популярных туристических объектов Кубани. Анализ структуры посещаемости позволил выявить необходимость увеличения количества посетителей категории «местное население» и развития спектра целевых аудиторий. Одна из важнейших стратегических задач развития комплекса  состоит в увеличении посещаемости, которая к 2023 году может превысить 210 000 человек.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Для увеличения и изменения структуры аудитории, повышения финансовой эффективности комплекс планирует:</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активизировать выставочную деятельность, популяризировать традиционные ремесла;</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активно взаимодействовать с учебными учреждениями и организациями края,  в целях повышения интереса к выставочному комплексу и просветительским мероприятиям, проходящим на его территории;</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расширить перечень досуговых услуг для взрослой аудитории (обряды, интерактивы);</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С целью активизации работы с детской и молодежной аудиторией на основе разработки и внедрения инновационных форм культурно-просветительских услуг в штат комплекса необходимо ввести  должность методиста по воспитательно-образовательной работе. Стратегия предусматривает следующие мероприятия:</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создание новых интерактивно-образовательных программ, например, «Первые шаги в историю Кубанского казачества» (на базе д/с); - создание специальных детских интерактивных пространств на территории комплекса и призового фонда для поощрения в конкурсных и игровых мероприятиях;</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более эффективное использование экскурсионного ресурса комплекса в целях развития школьно-образовательного туризма и внедрения его в систему дополнительного образования;</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создание новых комплексных образовательных программ в рамках курса «История России», «Кубановедение»для интеграции в учебный процесс;</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использование таких форм и методов работы с молодежной аудиторией, как квест, флэшмоб, флешбэк, фестивали;</w:t>
      </w:r>
    </w:p>
    <w:p w:rsidR="00742105" w:rsidRDefault="00C76CA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4.2. Научная и экспозиционная деятельность</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Решение данной задачи предполагает разработку  «с нуля» и внедрение в деятельность комплекса научной деятельности, работы с фондами и соответствующей документацией (архивы, акты приемки экспонатов, каталогизирование) и развитие музея до уровня современногонаучного центра. Кроме того, важнейшей задачей является работа над созданием концепции и сценария экспозиции.</w:t>
      </w:r>
    </w:p>
    <w:p w:rsidR="00742105" w:rsidRDefault="00742105">
      <w:pPr>
        <w:pStyle w:val="aa"/>
        <w:spacing w:line="360" w:lineRule="auto"/>
        <w:ind w:left="0"/>
        <w:jc w:val="center"/>
        <w:rPr>
          <w:rFonts w:ascii="Times New Roman" w:hAnsi="Times New Roman" w:cs="Times New Roman"/>
          <w:sz w:val="28"/>
          <w:szCs w:val="28"/>
        </w:rPr>
      </w:pPr>
    </w:p>
    <w:p w:rsidR="00742105" w:rsidRDefault="00C76CAA">
      <w:pPr>
        <w:pStyle w:val="aa"/>
        <w:spacing w:line="360" w:lineRule="auto"/>
        <w:jc w:val="center"/>
        <w:rPr>
          <w:rFonts w:ascii="Times New Roman" w:hAnsi="Times New Roman" w:cs="Times New Roman"/>
          <w:b/>
          <w:sz w:val="28"/>
          <w:szCs w:val="28"/>
        </w:rPr>
      </w:pPr>
      <w:r>
        <w:rPr>
          <w:rFonts w:ascii="Times New Roman" w:hAnsi="Times New Roman" w:cs="Times New Roman"/>
          <w:b/>
          <w:sz w:val="28"/>
          <w:szCs w:val="28"/>
        </w:rPr>
        <w:t>4.3.</w:t>
      </w:r>
      <w:r>
        <w:rPr>
          <w:rFonts w:ascii="Times New Roman" w:hAnsi="Times New Roman" w:cs="Times New Roman"/>
          <w:b/>
          <w:sz w:val="28"/>
          <w:szCs w:val="28"/>
        </w:rPr>
        <w:tab/>
        <w:t>Финансовая политика</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Появление новых производителей культурных продуктов (товарови услуг) способствует развитию конкуренции между государственным и негосударственным сектором культуры за спрос и внимание со стороны потребителей культурных услуг, источники финансирования и трудовые ресурсы. Расширение организационно-правовых форм государственных</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учреждений и переход к новым формам финансового обеспечения государственных (муниципальных) услуг повышают конкуренцию и внутри государственного сектора. Сокращение расходов федерального бюджета на культуру и установка на повышение эффективности бюджетных расходов, предусмотренные основными направлениями бюджетной политики, диктуют государственным учреждениям изменение финансовой политики.</w:t>
      </w:r>
    </w:p>
    <w:p w:rsidR="00742105" w:rsidRDefault="00C76CAA">
      <w:pPr>
        <w:pStyle w:val="aa"/>
        <w:spacing w:line="360" w:lineRule="auto"/>
        <w:ind w:left="0" w:firstLine="360"/>
        <w:jc w:val="both"/>
        <w:rPr>
          <w:rFonts w:ascii="Times New Roman" w:hAnsi="Times New Roman" w:cs="Times New Roman"/>
          <w:b/>
          <w:sz w:val="28"/>
          <w:szCs w:val="28"/>
        </w:rPr>
      </w:pPr>
      <w:r>
        <w:rPr>
          <w:rFonts w:ascii="Times New Roman" w:hAnsi="Times New Roman" w:cs="Times New Roman"/>
          <w:b/>
          <w:sz w:val="28"/>
          <w:szCs w:val="28"/>
        </w:rPr>
        <w:t>Цели финансовой политики комплекса:</w:t>
      </w:r>
    </w:p>
    <w:p w:rsidR="00742105" w:rsidRDefault="00C76CAA">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сокращение доли бюджетных расходов в консолидированном</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бюджетекомплекса за счет внебюджетных источников финансирования основной деятельности; </w:t>
      </w:r>
    </w:p>
    <w:p w:rsidR="00742105" w:rsidRDefault="00C76CAA">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повышение финансовой эффективности использования ресурсов за счет расширения аудитории и перечня предоставляемых</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услуг.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Финансовая и экономическая модель строиться с учетом концептуальных предложений по развитию комплекса,  целей финансовой политики, статуса бюджетного (автономного) учреждения и анализа финансового состояния (ресурсной обеспеченности). </w:t>
      </w:r>
    </w:p>
    <w:p w:rsidR="00742105" w:rsidRDefault="00742105">
      <w:pPr>
        <w:pStyle w:val="aa"/>
        <w:spacing w:line="360" w:lineRule="auto"/>
        <w:ind w:left="0"/>
        <w:jc w:val="center"/>
        <w:rPr>
          <w:rFonts w:ascii="Times New Roman" w:hAnsi="Times New Roman" w:cs="Times New Roman"/>
          <w:b/>
          <w:sz w:val="28"/>
          <w:szCs w:val="28"/>
        </w:rPr>
      </w:pPr>
    </w:p>
    <w:p w:rsidR="00742105" w:rsidRDefault="00C76CAA">
      <w:pPr>
        <w:pStyle w:val="aa"/>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Структура доходов выставочного комплекса «Атамань за 2015- 2017 год. </w:t>
      </w:r>
    </w:p>
    <w:p w:rsidR="00742105" w:rsidRDefault="00742105">
      <w:pPr>
        <w:pStyle w:val="aa"/>
        <w:spacing w:line="360" w:lineRule="auto"/>
        <w:ind w:left="0"/>
        <w:rPr>
          <w:rFonts w:ascii="Times New Roman" w:hAnsi="Times New Roman" w:cs="Times New Roman"/>
          <w:b/>
          <w:sz w:val="28"/>
          <w:szCs w:val="28"/>
        </w:rPr>
      </w:pPr>
    </w:p>
    <w:p w:rsidR="00742105" w:rsidRDefault="00C76CAA">
      <w:pPr>
        <w:pStyle w:val="aa"/>
        <w:spacing w:line="360" w:lineRule="auto"/>
        <w:ind w:left="0"/>
        <w:rPr>
          <w:rFonts w:ascii="Times New Roman" w:hAnsi="Times New Roman" w:cs="Times New Roman"/>
          <w:b/>
          <w:sz w:val="28"/>
          <w:szCs w:val="28"/>
        </w:rPr>
      </w:pPr>
      <w:r>
        <w:rPr>
          <w:noProof/>
          <w:lang w:eastAsia="ru-RU"/>
        </w:rPr>
        <w:drawing>
          <wp:inline distT="0" distB="0" distL="0" distR="0">
            <wp:extent cx="5466715" cy="3754755"/>
            <wp:effectExtent l="0" t="0" r="0" b="0"/>
            <wp:docPr id="1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2105" w:rsidRDefault="00742105">
      <w:pPr>
        <w:spacing w:line="360" w:lineRule="auto"/>
        <w:ind w:firstLine="708"/>
        <w:jc w:val="both"/>
        <w:rPr>
          <w:rFonts w:ascii="Times New Roman" w:hAnsi="Times New Roman" w:cs="Times New Roman"/>
          <w:b/>
          <w:sz w:val="28"/>
          <w:szCs w:val="28"/>
        </w:rPr>
      </w:pPr>
    </w:p>
    <w:p w:rsidR="00742105" w:rsidRDefault="00742105">
      <w:pPr>
        <w:spacing w:line="360" w:lineRule="auto"/>
        <w:ind w:firstLine="142"/>
        <w:jc w:val="both"/>
        <w:rPr>
          <w:rFonts w:ascii="Times New Roman" w:hAnsi="Times New Roman" w:cs="Times New Roman"/>
          <w:b/>
          <w:sz w:val="28"/>
          <w:szCs w:val="28"/>
        </w:rPr>
      </w:pPr>
    </w:p>
    <w:p w:rsidR="00742105" w:rsidRDefault="00C76CAA">
      <w:pPr>
        <w:tabs>
          <w:tab w:val="left" w:pos="8505"/>
        </w:tabs>
        <w:spacing w:line="360" w:lineRule="auto"/>
        <w:ind w:firstLine="708"/>
        <w:jc w:val="both"/>
        <w:rPr>
          <w:rFonts w:ascii="Times New Roman" w:hAnsi="Times New Roman" w:cs="Times New Roman"/>
          <w:b/>
          <w:sz w:val="28"/>
          <w:szCs w:val="28"/>
        </w:rPr>
      </w:pPr>
      <w:r>
        <w:rPr>
          <w:noProof/>
          <w:lang w:eastAsia="ru-RU"/>
        </w:rPr>
        <w:lastRenderedPageBreak/>
        <w:drawing>
          <wp:inline distT="0" distB="0" distL="0" distR="0">
            <wp:extent cx="5535295" cy="3336290"/>
            <wp:effectExtent l="0" t="0" r="0" b="0"/>
            <wp:docPr id="2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2105" w:rsidRDefault="00742105">
      <w:pPr>
        <w:spacing w:line="360" w:lineRule="auto"/>
        <w:ind w:firstLine="708"/>
        <w:jc w:val="both"/>
        <w:rPr>
          <w:rFonts w:ascii="Times New Roman" w:hAnsi="Times New Roman" w:cs="Times New Roman"/>
          <w:b/>
          <w:sz w:val="28"/>
          <w:szCs w:val="28"/>
          <w:lang w:val="en-US"/>
        </w:rPr>
      </w:pPr>
    </w:p>
    <w:p w:rsidR="00742105" w:rsidRDefault="00C76CAA">
      <w:pPr>
        <w:spacing w:line="360" w:lineRule="auto"/>
        <w:ind w:firstLine="708"/>
        <w:jc w:val="both"/>
        <w:rPr>
          <w:rFonts w:ascii="Times New Roman" w:hAnsi="Times New Roman" w:cs="Times New Roman"/>
          <w:b/>
          <w:sz w:val="28"/>
          <w:szCs w:val="28"/>
          <w:lang w:val="en-US"/>
        </w:rPr>
      </w:pPr>
      <w:r>
        <w:rPr>
          <w:noProof/>
          <w:lang w:eastAsia="ru-RU"/>
        </w:rPr>
        <w:drawing>
          <wp:inline distT="0" distB="0" distL="0" distR="0">
            <wp:extent cx="5486400" cy="3920490"/>
            <wp:effectExtent l="0" t="0" r="0" b="0"/>
            <wp:docPr id="2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2105" w:rsidRDefault="00742105">
      <w:pPr>
        <w:spacing w:line="360" w:lineRule="auto"/>
        <w:ind w:firstLine="708"/>
        <w:jc w:val="both"/>
        <w:rPr>
          <w:rFonts w:ascii="Times New Roman" w:hAnsi="Times New Roman" w:cs="Times New Roman"/>
          <w:b/>
          <w:sz w:val="28"/>
          <w:szCs w:val="28"/>
        </w:rPr>
      </w:pPr>
    </w:p>
    <w:p w:rsidR="00742105" w:rsidRDefault="00742105">
      <w:pPr>
        <w:spacing w:line="360" w:lineRule="auto"/>
        <w:ind w:firstLine="708"/>
        <w:jc w:val="both"/>
        <w:rPr>
          <w:rFonts w:ascii="Times New Roman" w:hAnsi="Times New Roman" w:cs="Times New Roman"/>
          <w:b/>
          <w:sz w:val="28"/>
          <w:szCs w:val="28"/>
        </w:rPr>
      </w:pPr>
    </w:p>
    <w:p w:rsidR="00742105" w:rsidRDefault="00C76CAA">
      <w:pPr>
        <w:spacing w:line="360" w:lineRule="auto"/>
        <w:ind w:firstLine="708"/>
        <w:jc w:val="both"/>
        <w:rPr>
          <w:rFonts w:ascii="Times New Roman" w:hAnsi="Times New Roman" w:cs="Times New Roman"/>
          <w:b/>
          <w:sz w:val="28"/>
          <w:szCs w:val="28"/>
        </w:rPr>
      </w:pPr>
      <w:r>
        <w:rPr>
          <w:noProof/>
          <w:lang w:eastAsia="ru-RU"/>
        </w:rPr>
        <w:lastRenderedPageBreak/>
        <w:drawing>
          <wp:inline distT="0" distB="0" distL="0" distR="0">
            <wp:extent cx="5486400" cy="3861435"/>
            <wp:effectExtent l="0" t="0" r="0" b="0"/>
            <wp:docPr id="2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2105" w:rsidRDefault="00C76CAA">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Анализ финансового состояния (ресурсная обеспеченность, исходные данные).</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План финансово хозяйственной деятельности на отчетный период и два последующих плановых  периода (на 2018 г. и 2019-2020 г.г.) составляется на основании доведенного Государственного задания Министерства культуры Краснодарского края на отчетный финансовый период и данных ПФХД с учетом реальных показателей за предшествующий год (2017 год), данных форм статистического отчета, данных о движении денежных средств по видам деятельности с учетом сезонности.</w:t>
      </w:r>
    </w:p>
    <w:p w:rsidR="00742105" w:rsidRDefault="00C76CAA">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Финансовое обеспечение</w:t>
      </w:r>
    </w:p>
    <w:p w:rsidR="00742105" w:rsidRDefault="00C76CAA">
      <w:pPr>
        <w:spacing w:line="360" w:lineRule="auto"/>
        <w:jc w:val="both"/>
        <w:rPr>
          <w:rFonts w:ascii="Times New Roman" w:hAnsi="Times New Roman" w:cs="Times New Roman"/>
          <w:sz w:val="28"/>
          <w:szCs w:val="28"/>
        </w:rPr>
      </w:pPr>
      <w:r>
        <w:rPr>
          <w:rFonts w:ascii="Times New Roman" w:hAnsi="Times New Roman" w:cs="Times New Roman"/>
          <w:sz w:val="28"/>
          <w:szCs w:val="28"/>
        </w:rPr>
        <w:t>- Целевые поступления с 2015 - 2020 год.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Субсидия  на выполнение государственного задания  (организация и проведение культурно-массовых мероприятий (иные зрелищные мероприятия) которая предусматривает выплату заработной платы, материальных затрат (коммунальные услуги) и налоговые платежи, составляют: </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 2015 год – 20 682,0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2016 год – 16 918,3 тыс. руб. </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2017 год – 16 964,2 тыс. руб. </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2018 год – 19 779,1 тыс. руб., </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2019 год – 19 790,9 тыс. руб.; </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2020 годы – 19 790,9 тыс. руб.</w:t>
      </w:r>
    </w:p>
    <w:p w:rsidR="00742105" w:rsidRDefault="00C76CAA">
      <w:pPr>
        <w:pStyle w:val="aa"/>
        <w:spacing w:line="360" w:lineRule="auto"/>
        <w:ind w:left="0" w:firstLine="708"/>
        <w:jc w:val="both"/>
        <w:rPr>
          <w:rFonts w:ascii="Times New Roman" w:hAnsi="Times New Roman" w:cs="Times New Roman"/>
          <w:b/>
          <w:sz w:val="28"/>
          <w:szCs w:val="28"/>
        </w:rPr>
      </w:pPr>
      <w:r>
        <w:rPr>
          <w:rFonts w:ascii="Times New Roman" w:hAnsi="Times New Roman" w:cs="Times New Roman"/>
          <w:b/>
          <w:sz w:val="28"/>
          <w:szCs w:val="28"/>
        </w:rPr>
        <w:t>Доходная часть бюджета от иной приносящей доход деятельности                              (поступления от оказания услуг (выполнения работ) на платной основе складывается из:</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доходов от собственности (аренда имущества);</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доходов от оказания услуг (организация и проведение культурно-массовых мероприятий (иные зрелищные мероприятия), которые рассчитываются исходя из количества посетителей комплекса утвержденные Государственным заданием Министерства культуры Краснодарского края и средней стоимости билета.</w:t>
      </w:r>
    </w:p>
    <w:p w:rsidR="00742105" w:rsidRDefault="00C76CAA">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Динамика поступлений доходов от собственности (сдача в аренду собственного имущества)за период с 2015-2020 годы:                                                                                </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2015 – 428,5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2016 – 2 308,9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2017 – 3 066, 9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2018 – 3 100,0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2019 – 3 200,0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2020 – 3 500,0 тыс. руб.</w:t>
      </w:r>
    </w:p>
    <w:p w:rsidR="00742105" w:rsidRDefault="00C76CAA">
      <w:pPr>
        <w:pStyle w:val="aa"/>
        <w:spacing w:line="360" w:lineRule="auto"/>
        <w:ind w:left="0" w:firstLine="708"/>
        <w:jc w:val="both"/>
      </w:pPr>
      <w:r>
        <w:rPr>
          <w:rFonts w:ascii="Times New Roman" w:hAnsi="Times New Roman" w:cs="Times New Roman"/>
          <w:sz w:val="28"/>
          <w:szCs w:val="28"/>
        </w:rPr>
        <w:t>Объем поступлений средств доходов от собственности за период  с 2015-2018 годы  увеличился на отчетный период в 7 раз.</w:t>
      </w:r>
    </w:p>
    <w:p w:rsidR="00742105" w:rsidRDefault="00C76CAA">
      <w:pPr>
        <w:pStyle w:val="aa"/>
        <w:spacing w:line="360" w:lineRule="auto"/>
        <w:ind w:left="0" w:firstLine="708"/>
        <w:jc w:val="both"/>
        <w:rPr>
          <w:rFonts w:ascii="Times New Roman" w:hAnsi="Times New Roman" w:cs="Times New Roman"/>
          <w:b/>
          <w:sz w:val="28"/>
          <w:szCs w:val="28"/>
        </w:rPr>
      </w:pPr>
      <w:r>
        <w:rPr>
          <w:rFonts w:ascii="Times New Roman" w:hAnsi="Times New Roman" w:cs="Times New Roman"/>
          <w:b/>
          <w:sz w:val="28"/>
          <w:szCs w:val="28"/>
        </w:rPr>
        <w:t>Динамика поступления доходов от оказания платных услуг за период с 2015-2020 годы:</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2015 – 43 126,0 тыс. руб. </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2016 – 42 228,4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2017 – 42 090,0тыс.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2018 – 42 200,0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2019 – 42 400,0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2020 – 42 500,0  тыс. руб.</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Объем поступлений средств от оказания платных услуг по видам деятельности комплекса на отчетный период  по сравнению 2015 г. с 2018 г.  снизился на 2,15 % без учета дополнительных и привлеченных денежных средств, в связи с уменьшением количества посетителей выставочного комплекса. По сравнению 2018 г с 2017 г., увеличился данный показатель на 0,3%, или на 110,0 тыс. рублей.</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Дополнительные доходы – безвозмездные поступления (добровольное пожертвование):</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2015 г.  – 87,0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2016 т. – 58,0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2017 год – 108,2 тыс. руб.</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Дополнительные доходы 2017 года по сравнению с 2015 годом увеличились на 24,4 %.</w:t>
      </w:r>
    </w:p>
    <w:p w:rsidR="00742105" w:rsidRDefault="00C76CAA">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СВОДНЫЙ  АНАЛИЗ поступлений внебюджетных денежных средствза период с 2015-2020 годы:</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2015 – 41 321,0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2016 – 44 547,3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2017 – 45 265,1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2018- 45 420,0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2019 – 45 730,0 тыс. руб.</w:t>
      </w:r>
    </w:p>
    <w:p w:rsidR="00742105" w:rsidRDefault="00C76CAA">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2020</w:t>
      </w:r>
      <w:r>
        <w:rPr>
          <w:rFonts w:ascii="Times New Roman" w:hAnsi="Times New Roman" w:cs="Times New Roman"/>
          <w:sz w:val="28"/>
          <w:szCs w:val="28"/>
        </w:rPr>
        <w:tab/>
        <w:t xml:space="preserve">- 45 950,0 тыс. руб. </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Объем поступлений внебюджетных средств по видам деятельности комплекса за период с 2015 г. по 2018 г. с учетом дополнительных и привлеченных денежных средств увеличился на 0,8 %. </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необходимо усилить привлечение количества посещаемости физических лиц на территории комплекса для увеличения доходной части бюджета по оказанию данного вида услуги, привлечение спонсорских средств и целевых программ что позволит помимо покрытия основных целевых и прямых расходов направить на развитие  комплекса и  заинтересовать посетителей посетить «Выставочный комплекс «Атамань».</w:t>
      </w:r>
    </w:p>
    <w:p w:rsidR="00742105" w:rsidRDefault="00742105">
      <w:pPr>
        <w:pStyle w:val="aa"/>
        <w:spacing w:line="360" w:lineRule="auto"/>
        <w:ind w:left="0"/>
        <w:jc w:val="both"/>
        <w:rPr>
          <w:rFonts w:ascii="Times New Roman" w:hAnsi="Times New Roman" w:cs="Times New Roman"/>
          <w:sz w:val="28"/>
          <w:szCs w:val="28"/>
        </w:rPr>
      </w:pPr>
    </w:p>
    <w:p w:rsidR="00742105" w:rsidRDefault="00C76CAA">
      <w:pPr>
        <w:pStyle w:val="aa"/>
        <w:spacing w:line="360" w:lineRule="auto"/>
        <w:jc w:val="center"/>
        <w:rPr>
          <w:rFonts w:ascii="Times New Roman" w:hAnsi="Times New Roman" w:cs="Times New Roman"/>
          <w:b/>
          <w:sz w:val="28"/>
          <w:szCs w:val="28"/>
        </w:rPr>
      </w:pPr>
      <w:r>
        <w:rPr>
          <w:rFonts w:ascii="Times New Roman" w:hAnsi="Times New Roman" w:cs="Times New Roman"/>
          <w:b/>
          <w:sz w:val="28"/>
          <w:szCs w:val="28"/>
        </w:rPr>
        <w:t>4.4.   Кадровая политика</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Приоритетной задачей для комплекса является пересмотр  своей организационной схемы, системы управления и функциональных обязанностей. Также, стоит уделить особое внимание такому направлению кадровой политики, как  ликвидация дефицита квалифицированных кадров</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Реализация данной задачи предполагает:</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повышение профессионального уровня уже нанятых работников (курсы переподготовки, семинары тренинги);</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введение в штатное расписание таких должностей, как:</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научный сотрудник (для ведения непрерывной методической работы, пополнения экскурсионного портфеля и систематизации профессиональных знаний, а также для работы с экспозицией).</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PR</w:t>
      </w:r>
      <w:r>
        <w:rPr>
          <w:rFonts w:ascii="Times New Roman" w:hAnsi="Times New Roman" w:cs="Times New Roman"/>
          <w:sz w:val="28"/>
          <w:szCs w:val="28"/>
        </w:rPr>
        <w:t>- специалист,</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web</w:t>
      </w:r>
      <w:r>
        <w:rPr>
          <w:rFonts w:ascii="Times New Roman" w:hAnsi="Times New Roman" w:cs="Times New Roman"/>
          <w:sz w:val="28"/>
          <w:szCs w:val="28"/>
        </w:rPr>
        <w:t>-дизайнер/ программист;</w:t>
      </w:r>
    </w:p>
    <w:p w:rsidR="00742105" w:rsidRDefault="00C76CAA">
      <w:pPr>
        <w:pStyle w:val="aa"/>
        <w:spacing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маркетолог. </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Также, необходимо пересмотреть подход и критерии приема на работу экскурсионного персонала. Здесьцелесообразно принимать в штат, на сезонной основе, сотрудников из числа студентов исторических факультетов, а также факультетов туризма.</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Выставочный комплекс выступает здесь базой прохождения производственной практики. В связи с этим, необходимо наладить контакт с профильными высшими учебными заведениями. Предполагается участие в университетских ярмарках вакансий и встречах со студентами в межсезонье.</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Кроме того,  немаловажной проблемой является удаленное нахождение офисных работников от территории выставочного комплекса.  Ликвидация  данной проблемы предполагает строительство офисного помещения для сотрудников на территории выставочного комплекса.  Необходима разработка соответствующей документации</w:t>
      </w:r>
      <w:r>
        <w:rPr>
          <w:rFonts w:ascii="Times New Roman" w:hAnsi="Times New Roman" w:cs="Times New Roman"/>
          <w:b/>
          <w:sz w:val="28"/>
          <w:szCs w:val="28"/>
        </w:rPr>
        <w:t>.</w:t>
      </w:r>
    </w:p>
    <w:p w:rsidR="00742105" w:rsidRDefault="00742105">
      <w:pPr>
        <w:pStyle w:val="aa"/>
        <w:spacing w:line="360" w:lineRule="auto"/>
        <w:jc w:val="center"/>
        <w:rPr>
          <w:rFonts w:ascii="Times New Roman" w:hAnsi="Times New Roman" w:cs="Times New Roman"/>
          <w:b/>
          <w:sz w:val="28"/>
          <w:szCs w:val="28"/>
        </w:rPr>
      </w:pPr>
    </w:p>
    <w:p w:rsidR="00742105" w:rsidRDefault="00C76CAA">
      <w:pPr>
        <w:pStyle w:val="aa"/>
        <w:spacing w:line="360" w:lineRule="auto"/>
        <w:ind w:left="0" w:firstLine="708"/>
        <w:jc w:val="center"/>
        <w:rPr>
          <w:rFonts w:ascii="Times New Roman" w:hAnsi="Times New Roman" w:cs="Times New Roman"/>
          <w:b/>
          <w:sz w:val="28"/>
          <w:szCs w:val="28"/>
        </w:rPr>
      </w:pPr>
      <w:r>
        <w:rPr>
          <w:rFonts w:ascii="Times New Roman" w:hAnsi="Times New Roman" w:cs="Times New Roman"/>
          <w:b/>
          <w:sz w:val="28"/>
          <w:szCs w:val="28"/>
        </w:rPr>
        <w:t>4.5.   Продвижение</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 рамках продвижения и популяризации среди населения выставочного комплекса необходимо провести работу по таким направлениям, как:</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Разработка и внедрение новых подходов к экскурсионной деятельности. В сфере культурно-просветительской и образовательной деятельности, стратегия определяет целевые ориентиры развития комплекса, включающие создание и внедрение новых методов предоставления экскурсионных услуг. Экскурсия, как продукт, предлагаемый посетителю, должна являть собой театрализованное представление с активным вовлечением экскурсанта в действие. </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Интеграция комплекса в систему внутреннего туризма РФ как крупного туристического центра. Приоритетными и обладающими необходимыми конкурентными преимуществами видами туризма, координатором которого может стать комплекс, являются:</w:t>
      </w:r>
    </w:p>
    <w:p w:rsidR="00742105" w:rsidRDefault="00C76CAA">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патриотический туризм для детей и молодежи; </w:t>
      </w:r>
    </w:p>
    <w:p w:rsidR="00742105" w:rsidRDefault="00C76CAA">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событийный туризм (дополнение экскурсионных программ  праздниками, военно-историческими фестивалями и реконструкциями);</w:t>
      </w:r>
    </w:p>
    <w:p w:rsidR="00742105" w:rsidRDefault="00C76CAA">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культурно-познавательный туризм (использование всего комплекса образовательно-просветительных услуг комплекса).</w:t>
      </w:r>
    </w:p>
    <w:p w:rsidR="00742105" w:rsidRDefault="00C76CAA">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научный туризм– как разовый (мастер-классы, семинары, конференции), так и долгосрочный – прохождение производственной практики для студентов;</w:t>
      </w:r>
    </w:p>
    <w:p w:rsidR="00742105" w:rsidRDefault="00C76CAA">
      <w:pPr>
        <w:pStyle w:val="aa"/>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гастрономический туризм (кулинарные фестивали, мастер-классы традиционной кухни);</w:t>
      </w:r>
    </w:p>
    <w:p w:rsidR="00742105" w:rsidRDefault="00C76CAA">
      <w:pPr>
        <w:pStyle w:val="aa"/>
        <w:tabs>
          <w:tab w:val="left" w:pos="142"/>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Внедрение информационных технологий.</w:t>
      </w:r>
    </w:p>
    <w:p w:rsidR="00742105" w:rsidRDefault="00C76CAA">
      <w:pPr>
        <w:pStyle w:val="aa"/>
        <w:tabs>
          <w:tab w:val="left" w:pos="142"/>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Реализация данной задачи предполагает:</w:t>
      </w:r>
    </w:p>
    <w:p w:rsidR="00742105" w:rsidRDefault="00C76CAA">
      <w:pPr>
        <w:pStyle w:val="aa"/>
        <w:numPr>
          <w:ilvl w:val="0"/>
          <w:numId w:val="5"/>
        </w:num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приобретение мультимедийного  оборудования для виртуальных экскурсий;</w:t>
      </w:r>
    </w:p>
    <w:p w:rsidR="00742105" w:rsidRDefault="00C76CAA">
      <w:pPr>
        <w:pStyle w:val="aa"/>
        <w:numPr>
          <w:ilvl w:val="0"/>
          <w:numId w:val="5"/>
        </w:num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приобретение аудио гидов для  посетителей не говорящих на русском языке;</w:t>
      </w:r>
    </w:p>
    <w:p w:rsidR="00742105" w:rsidRDefault="00C76CAA">
      <w:pPr>
        <w:pStyle w:val="aa"/>
        <w:numPr>
          <w:ilvl w:val="0"/>
          <w:numId w:val="5"/>
        </w:num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приобретение поясных громкоговорителей для обеспечения более продуктивного ведения экскурсий.</w:t>
      </w:r>
    </w:p>
    <w:p w:rsidR="00742105" w:rsidRDefault="00C76CAA">
      <w:p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ab/>
        <w:t>- Использование потенциала комплекса, как развлекательной площадки.</w:t>
      </w:r>
      <w:r>
        <w:rPr>
          <w:rFonts w:ascii="Times New Roman" w:hAnsi="Times New Roman" w:cs="Times New Roman"/>
          <w:sz w:val="28"/>
          <w:szCs w:val="28"/>
        </w:rPr>
        <w:tab/>
        <w:t xml:space="preserve">Стратегией развития Атамани предусмотрено активное использование площадей комплекса отведенных для активных видов отдыха, а также детские площадки.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рамках данной стратегии, также предусмотрено увеличение интерактивов и мастер-классов на подворьях. Мероприятия будут нести в себе развлекательное-просветительский характер (по отдельному плану). Необходимо подготовить призовую базу, для поощрения участников мероприятий.</w:t>
      </w:r>
    </w:p>
    <w:p w:rsidR="00742105" w:rsidRDefault="00C76CAA">
      <w:p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 Увеличение рекламы (полиграфия, теле- и аудиореклама). Ввиду расширения границ информационного пространства в сторону Крымского полуострова, перед выставочным комплексом встала необходимость увеличения рекламного потока, охватывающего Крым. Приоритетными задачами в данном направлении является: поиск информационных партнеров на полуострове,  подписание договоров о сотрудничестве с туристическими организациями, позиционирование выставочного комплекса достойной альтернативой ключевым туристическим и развлекательным объектам  Крыма;</w:t>
      </w:r>
    </w:p>
    <w:p w:rsidR="00742105" w:rsidRDefault="00C76CAA">
      <w:p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Продвижение комплекса на различных туристических форумах и выставках в межсезонье. Для освоения данной задачи необходимо модернизировать мини-экспозицию для презентаций, а также закупить сувенирную продукцию (по отдельному плану);</w:t>
      </w:r>
    </w:p>
    <w:p w:rsidR="00742105" w:rsidRDefault="00C76CAA">
      <w:p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  Продвижение комплекса в социальных сетях (</w:t>
      </w:r>
      <w:r>
        <w:rPr>
          <w:rFonts w:ascii="Times New Roman" w:hAnsi="Times New Roman" w:cs="Times New Roman"/>
          <w:sz w:val="28"/>
          <w:szCs w:val="28"/>
          <w:lang w:val="en-US"/>
        </w:rPr>
        <w:t>SMM</w:t>
      </w:r>
      <w:r>
        <w:rPr>
          <w:rFonts w:ascii="Times New Roman" w:hAnsi="Times New Roman" w:cs="Times New Roman"/>
          <w:sz w:val="28"/>
          <w:szCs w:val="28"/>
        </w:rPr>
        <w:t xml:space="preserve">- менеджмент). Для успешного решения данной задачи, (итогом которой является увеличение количества подписчиков),  необходимо составить точный  медиа-план, с мониторингом выходов публикаций в СМИ, или репостов на страницах социальных сетей. </w:t>
      </w:r>
    </w:p>
    <w:p w:rsidR="00742105" w:rsidRDefault="00C76CA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4.6.Развитие инфраструктуры приема посетителей.</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Реализация данной задачи предполагает:</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Расширение доступности комплекса  для людей с ограниченными возможностями. Комплекс будет стремиться обеспечить на своей территории «безбарьерную» среду для этой категории посетителей. Стратегией предусмотрено:</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оборудование соответствующим образом лестниц и спусков;</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оснащение отдельных экспозиций этикетажем с использованием шрифта Брайля;</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изготовление муляжей, рельефных рисунков, схем, планов для использования в качестве тактильных экспонатов основных разделов экспозиций;</w:t>
      </w:r>
    </w:p>
    <w:p w:rsidR="00742105" w:rsidRDefault="00742105">
      <w:pPr>
        <w:pStyle w:val="aa"/>
        <w:spacing w:line="360" w:lineRule="auto"/>
        <w:ind w:left="0"/>
        <w:jc w:val="both"/>
        <w:rPr>
          <w:rFonts w:ascii="Times New Roman" w:hAnsi="Times New Roman" w:cs="Times New Roman"/>
          <w:sz w:val="28"/>
          <w:szCs w:val="28"/>
        </w:rPr>
      </w:pPr>
    </w:p>
    <w:p w:rsidR="00742105" w:rsidRDefault="00C76CAA">
      <w:pPr>
        <w:pStyle w:val="aa"/>
        <w:spacing w:line="360" w:lineRule="auto"/>
        <w:ind w:firstLine="708"/>
        <w:rPr>
          <w:rFonts w:ascii="Times New Roman" w:hAnsi="Times New Roman" w:cs="Times New Roman"/>
          <w:b/>
          <w:sz w:val="28"/>
          <w:szCs w:val="28"/>
        </w:rPr>
      </w:pPr>
      <w:r>
        <w:rPr>
          <w:rFonts w:ascii="Times New Roman" w:hAnsi="Times New Roman" w:cs="Times New Roman"/>
          <w:b/>
          <w:sz w:val="28"/>
          <w:szCs w:val="28"/>
        </w:rPr>
        <w:t>4.7. Развитие системы безопасности объектов комплекса.</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Ключевыми направлениями развития системы безопасности комплекса  являются:</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Разработка Концепции безопасности комплекса;</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целях реализации программы по антитеррористической безопасности: приобретение и установка систем контроля и управления доступом с </w:t>
      </w:r>
      <w:r>
        <w:rPr>
          <w:rFonts w:ascii="Times New Roman" w:hAnsi="Times New Roman" w:cs="Times New Roman"/>
          <w:sz w:val="28"/>
          <w:szCs w:val="28"/>
        </w:rPr>
        <w:lastRenderedPageBreak/>
        <w:t>металлодетекторами, приобретение ручных металлодетекторов; модернизация системы видеонаблюдения;</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Приобретение оборудования резервного энергоснабжения для объектов комплекса с целью обеспечения стабильности и бесперебойности работы системы видеонаблюдения, СКУДов и других охранных систем. При проектировании систем безопасности учитываются и вопросы энергоэффективности и энергоснабжения;</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Замена систем пожаротушения, оповещения и пожарной сигнализации;</w:t>
      </w:r>
    </w:p>
    <w:p w:rsidR="00742105" w:rsidRDefault="00742105">
      <w:pPr>
        <w:pStyle w:val="aa"/>
        <w:spacing w:line="360" w:lineRule="auto"/>
        <w:ind w:left="0"/>
        <w:jc w:val="both"/>
        <w:rPr>
          <w:rFonts w:ascii="Times New Roman" w:hAnsi="Times New Roman" w:cs="Times New Roman"/>
          <w:sz w:val="28"/>
          <w:szCs w:val="28"/>
        </w:rPr>
      </w:pPr>
    </w:p>
    <w:p w:rsidR="00742105" w:rsidRDefault="00C76CAA">
      <w:pPr>
        <w:pStyle w:val="aa"/>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t>4.8. Замена и модернизация инженерно-технических систем комплекса.</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Мероприятия Стратегии включают  ремонт и замену систем  водоснабжения и водоотведения на объектах комплекса. Также необходимо модернизировать систему полива газонов, клумб и огородов на территории (по отдельному плану).</w:t>
      </w:r>
    </w:p>
    <w:p w:rsidR="00742105" w:rsidRDefault="00C76CAA">
      <w:pPr>
        <w:pStyle w:val="aa"/>
        <w:spacing w:line="360" w:lineRule="auto"/>
        <w:ind w:left="0" w:firstLine="708"/>
        <w:jc w:val="center"/>
        <w:rPr>
          <w:rFonts w:ascii="Times New Roman" w:hAnsi="Times New Roman" w:cs="Times New Roman"/>
          <w:b/>
          <w:sz w:val="28"/>
          <w:szCs w:val="28"/>
        </w:rPr>
      </w:pPr>
      <w:r>
        <w:rPr>
          <w:rFonts w:ascii="Times New Roman" w:hAnsi="Times New Roman" w:cs="Times New Roman"/>
          <w:b/>
          <w:sz w:val="28"/>
          <w:szCs w:val="28"/>
        </w:rPr>
        <w:t>4.9. Реализация новых проектов.</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Строительство этно-гостиницы для посетителей, на территории комплекса;</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Открытие конно-спортивногоклуба;</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Реконструкция и модернизация спортивно-игровых зон комплекса. Все зоны отведенные под игровые площадки и спортивные комплексы нуждаются в  реконструкции и модернизации: </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территория бывшего «Парка пластунов» (скейт-парк). Для привлечения большего количества туристов, предпочитающих экстремальные виды отдыха и спорта, необходимо провести реконструкцию Парка пластунов (по отдельному плану);  </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детские площадки «Муха-Цокотуха» и «Земляничка». Требуется модернизация и переоснащение детских площадок современными игровыми комплексами для категории детей от 0 лет.</w:t>
      </w:r>
    </w:p>
    <w:p w:rsidR="00742105" w:rsidRDefault="00742105">
      <w:pPr>
        <w:pStyle w:val="aa"/>
        <w:spacing w:line="360" w:lineRule="auto"/>
        <w:ind w:left="0"/>
        <w:jc w:val="center"/>
        <w:rPr>
          <w:rFonts w:ascii="Times New Roman" w:hAnsi="Times New Roman" w:cs="Times New Roman"/>
          <w:b/>
          <w:sz w:val="28"/>
          <w:szCs w:val="28"/>
        </w:rPr>
      </w:pPr>
    </w:p>
    <w:p w:rsidR="00742105" w:rsidRDefault="00742105">
      <w:pPr>
        <w:pStyle w:val="aa"/>
        <w:spacing w:line="360" w:lineRule="auto"/>
        <w:ind w:left="0"/>
        <w:jc w:val="center"/>
        <w:rPr>
          <w:rFonts w:ascii="Times New Roman" w:hAnsi="Times New Roman" w:cs="Times New Roman"/>
          <w:b/>
          <w:sz w:val="28"/>
          <w:szCs w:val="28"/>
        </w:rPr>
      </w:pPr>
    </w:p>
    <w:p w:rsidR="00742105" w:rsidRDefault="00742105">
      <w:pPr>
        <w:pStyle w:val="aa"/>
        <w:spacing w:line="360" w:lineRule="auto"/>
        <w:ind w:left="0"/>
        <w:jc w:val="center"/>
        <w:rPr>
          <w:rFonts w:ascii="Times New Roman" w:hAnsi="Times New Roman" w:cs="Times New Roman"/>
          <w:b/>
          <w:sz w:val="28"/>
          <w:szCs w:val="28"/>
        </w:rPr>
      </w:pPr>
    </w:p>
    <w:p w:rsidR="00742105" w:rsidRDefault="00C76CAA">
      <w:pPr>
        <w:pStyle w:val="aa"/>
        <w:numPr>
          <w:ilvl w:val="0"/>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Механизмы реализации.</w:t>
      </w:r>
    </w:p>
    <w:p w:rsidR="00742105" w:rsidRDefault="00C76CAA">
      <w:pPr>
        <w:pStyle w:val="aa"/>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5.1. Научная деятельность</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Создание  научно-исследовательского отдела комплекса  приведет к активизации исследовательской деятельности, которая будет представлена следующими направлениями. </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Мерой, обеспечивающей активизацию научной деятельности комплекса, должны стать ежегодные тематические конференции, а также отчетные конференции, на которых должны выступать сотрудники комплекса  по темам, включенным в их план работы. </w:t>
      </w:r>
    </w:p>
    <w:p w:rsidR="00742105" w:rsidRDefault="00C76CAA">
      <w:pPr>
        <w:pStyle w:val="aa"/>
        <w:spacing w:line="360" w:lineRule="auto"/>
        <w:ind w:left="0" w:firstLine="708"/>
        <w:jc w:val="both"/>
        <w:rPr>
          <w:rFonts w:ascii="Times New Roman" w:hAnsi="Times New Roman" w:cs="Times New Roman"/>
          <w:b/>
          <w:sz w:val="28"/>
          <w:szCs w:val="28"/>
        </w:rPr>
      </w:pPr>
      <w:r>
        <w:rPr>
          <w:rFonts w:ascii="Times New Roman" w:hAnsi="Times New Roman" w:cs="Times New Roman"/>
          <w:b/>
          <w:sz w:val="28"/>
          <w:szCs w:val="28"/>
        </w:rPr>
        <w:t>Совместные проекты с региональными музеями и другими учреждениями культуры.</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Комплекс осуществляет с региональными музеями и другими учреждениями культуры выставочные, научно-исследовательские, реставрационные, издательские, экспедиционные и другие проекты на договорной основе. </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Одной из важных форм взаимодействия с региональными музеями является организация совместных научных чтений, научных и научно-практических конференций.  </w:t>
      </w:r>
    </w:p>
    <w:p w:rsidR="00742105" w:rsidRDefault="00C76CAA">
      <w:pPr>
        <w:pStyle w:val="aa"/>
        <w:spacing w:line="360" w:lineRule="auto"/>
        <w:ind w:left="0" w:firstLine="708"/>
        <w:jc w:val="both"/>
        <w:rPr>
          <w:rFonts w:ascii="Times New Roman" w:hAnsi="Times New Roman" w:cs="Times New Roman"/>
          <w:b/>
          <w:sz w:val="28"/>
          <w:szCs w:val="28"/>
        </w:rPr>
      </w:pPr>
      <w:r>
        <w:rPr>
          <w:rFonts w:ascii="Times New Roman" w:hAnsi="Times New Roman" w:cs="Times New Roman"/>
          <w:b/>
          <w:sz w:val="28"/>
          <w:szCs w:val="28"/>
        </w:rPr>
        <w:t>Организация стажировок и консультаций для региональных музеев, учреждений культуры, учебных заведений.</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Стажировки организуются на основе заявок региональных музеев по различным проблемам собирательской, хранительской, научно-учетной, экспозиционно-выставочной и популяризаторской деятельности, консервации и реставрации произведений декоративно-прикладного и народного искусства. Долговременные стажировки организуются как для групп специалистов, так и для отдельных сотрудников. </w:t>
      </w:r>
    </w:p>
    <w:p w:rsidR="00742105" w:rsidRDefault="00C76CAA">
      <w:pPr>
        <w:pStyle w:val="aa"/>
        <w:spacing w:line="360" w:lineRule="auto"/>
        <w:ind w:left="0" w:firstLine="708"/>
        <w:jc w:val="both"/>
        <w:rPr>
          <w:rFonts w:ascii="Times New Roman" w:hAnsi="Times New Roman" w:cs="Times New Roman"/>
          <w:b/>
          <w:sz w:val="28"/>
          <w:szCs w:val="28"/>
        </w:rPr>
      </w:pPr>
      <w:r>
        <w:rPr>
          <w:rFonts w:ascii="Times New Roman" w:hAnsi="Times New Roman" w:cs="Times New Roman"/>
          <w:b/>
          <w:sz w:val="28"/>
          <w:szCs w:val="28"/>
        </w:rPr>
        <w:t>Взаимодействие с профильными высшими и средними специальными учебными заведениями.</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Данная работа может осуществляться по следующим направлениям</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 следующих формах:</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разработка и чтение на базе экспозиции комплекса специальных курсов</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лекций по истории казачества;</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организация стажировок для преподавателей соответствующих специальностей;</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организация производственной   практики для студентов педагогических, художественных и искусствоведческих специальностей;</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организация стажировок для иностранных студентов по индивидуальным программам; </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организация и проведение студенческих научных конференций и конкурсов студенческих научных работ.  </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Все направления этой деятельности реализуются на основе долгосрочных программ и заключения договоров с учебными заведениями</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 другими организациями.</w:t>
      </w:r>
    </w:p>
    <w:p w:rsidR="00742105" w:rsidRDefault="00C76CAA">
      <w:pPr>
        <w:pStyle w:val="aa"/>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Организация научной деятельности комплекса.</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Для организации научной деятельности комплекса в его структуре должно быть создано подразделение (научно-методический отдел), которое должно заниматься подготовкой и проведением конференций, коллоквиумов, подготовкой и изданием научных сборников, а также координацией всей научной деятельности комплекса. Этот отдел может быть подчинен директору комплекса.</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 составе отдела формируются секторы — теории и методики, науч-</w:t>
      </w:r>
    </w:p>
    <w:p w:rsidR="00742105" w:rsidRDefault="00C76CAA">
      <w:pPr>
        <w:pStyle w:val="aa"/>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ных проектов и издательский.</w:t>
      </w:r>
    </w:p>
    <w:p w:rsidR="00742105" w:rsidRDefault="00C76CAA">
      <w:pPr>
        <w:pStyle w:val="aa"/>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 научной части могут быть причислены научные сотрудники осуществляющие исследовательскую и научно-организационную деятельность. </w:t>
      </w:r>
    </w:p>
    <w:p w:rsidR="00742105" w:rsidRDefault="00742105">
      <w:pPr>
        <w:pStyle w:val="aa"/>
        <w:spacing w:line="360" w:lineRule="auto"/>
        <w:ind w:left="0"/>
        <w:jc w:val="center"/>
      </w:pPr>
    </w:p>
    <w:sectPr w:rsidR="00742105" w:rsidSect="00742105">
      <w:footerReference w:type="default" r:id="rId12"/>
      <w:pgSz w:w="11906" w:h="16838"/>
      <w:pgMar w:top="1134" w:right="850" w:bottom="1134" w:left="1701" w:header="0"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D81" w:rsidRDefault="00001D81" w:rsidP="00742105">
      <w:pPr>
        <w:spacing w:after="0" w:line="240" w:lineRule="auto"/>
      </w:pPr>
      <w:r>
        <w:separator/>
      </w:r>
    </w:p>
  </w:endnote>
  <w:endnote w:type="continuationSeparator" w:id="1">
    <w:p w:rsidR="00001D81" w:rsidRDefault="00001D81" w:rsidP="00742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482518"/>
      <w:docPartObj>
        <w:docPartGallery w:val="Page Numbers (Bottom of Page)"/>
        <w:docPartUnique/>
      </w:docPartObj>
    </w:sdtPr>
    <w:sdtContent>
      <w:p w:rsidR="00742105" w:rsidRDefault="001B3738">
        <w:pPr>
          <w:pStyle w:val="Footer"/>
          <w:jc w:val="center"/>
        </w:pPr>
        <w:r>
          <w:fldChar w:fldCharType="begin"/>
        </w:r>
        <w:r w:rsidR="00C76CAA">
          <w:instrText>PAGE</w:instrText>
        </w:r>
        <w:r>
          <w:fldChar w:fldCharType="separate"/>
        </w:r>
        <w:r w:rsidR="00316EA2">
          <w:rPr>
            <w:noProof/>
          </w:rPr>
          <w:t>11</w:t>
        </w:r>
        <w:r>
          <w:fldChar w:fldCharType="end"/>
        </w:r>
      </w:p>
    </w:sdtContent>
  </w:sdt>
  <w:p w:rsidR="00742105" w:rsidRDefault="007421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D81" w:rsidRDefault="00001D81" w:rsidP="00742105">
      <w:pPr>
        <w:spacing w:after="0" w:line="240" w:lineRule="auto"/>
      </w:pPr>
      <w:r>
        <w:separator/>
      </w:r>
    </w:p>
  </w:footnote>
  <w:footnote w:type="continuationSeparator" w:id="1">
    <w:p w:rsidR="00001D81" w:rsidRDefault="00001D81" w:rsidP="007421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C2907"/>
    <w:multiLevelType w:val="multilevel"/>
    <w:tmpl w:val="794A98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972340"/>
    <w:multiLevelType w:val="multilevel"/>
    <w:tmpl w:val="14F6678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0D8384D"/>
    <w:multiLevelType w:val="multilevel"/>
    <w:tmpl w:val="B912791E"/>
    <w:lvl w:ilvl="0">
      <w:start w:val="1"/>
      <w:numFmt w:val="decimal"/>
      <w:lvlText w:val="%1."/>
      <w:lvlJc w:val="left"/>
      <w:pPr>
        <w:ind w:left="720" w:hanging="360"/>
      </w:pPr>
      <w:rPr>
        <w:rFonts w:eastAsia="Andale Sans UI" w:cs="Tahoma"/>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3">
    <w:nsid w:val="62F93BF8"/>
    <w:multiLevelType w:val="multilevel"/>
    <w:tmpl w:val="BB180E4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2AF00B9"/>
    <w:multiLevelType w:val="multilevel"/>
    <w:tmpl w:val="AC663B1E"/>
    <w:lvl w:ilvl="0">
      <w:start w:val="1"/>
      <w:numFmt w:val="decimal"/>
      <w:lvlText w:val="%1."/>
      <w:lvlJc w:val="left"/>
      <w:pPr>
        <w:ind w:left="450" w:hanging="450"/>
      </w:pPr>
      <w:rPr>
        <w:rFonts w:ascii="Times New Roman" w:hAnsi="Times New Roman"/>
        <w:b/>
        <w:sz w:val="28"/>
      </w:rPr>
    </w:lvl>
    <w:lvl w:ilvl="1">
      <w:start w:val="1"/>
      <w:numFmt w:val="decimal"/>
      <w:lvlText w:val="%1.%2."/>
      <w:lvlJc w:val="left"/>
      <w:pPr>
        <w:ind w:left="450" w:hanging="450"/>
      </w:pPr>
      <w:rPr>
        <w:rFonts w:ascii="Times New Roman" w:hAnsi="Times New Roman"/>
        <w:b/>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5">
    <w:nsid w:val="752D0A62"/>
    <w:multiLevelType w:val="multilevel"/>
    <w:tmpl w:val="21901CA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A776782"/>
    <w:multiLevelType w:val="multilevel"/>
    <w:tmpl w:val="71AC569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742105"/>
    <w:rsid w:val="00001D81"/>
    <w:rsid w:val="001625AF"/>
    <w:rsid w:val="001B3738"/>
    <w:rsid w:val="00316EA2"/>
    <w:rsid w:val="003406D7"/>
    <w:rsid w:val="003D6B33"/>
    <w:rsid w:val="00517263"/>
    <w:rsid w:val="00572AEF"/>
    <w:rsid w:val="00742105"/>
    <w:rsid w:val="0082176D"/>
    <w:rsid w:val="00982D52"/>
    <w:rsid w:val="00C079AC"/>
    <w:rsid w:val="00C76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6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732DE"/>
    <w:rPr>
      <w:rFonts w:ascii="Tahoma" w:hAnsi="Tahoma" w:cs="Tahoma"/>
      <w:sz w:val="16"/>
      <w:szCs w:val="16"/>
    </w:rPr>
  </w:style>
  <w:style w:type="character" w:customStyle="1" w:styleId="a4">
    <w:name w:val="Верхний колонтитул Знак"/>
    <w:basedOn w:val="a0"/>
    <w:uiPriority w:val="99"/>
    <w:qFormat/>
    <w:rsid w:val="006C6249"/>
  </w:style>
  <w:style w:type="character" w:customStyle="1" w:styleId="a5">
    <w:name w:val="Нижний колонтитул Знак"/>
    <w:basedOn w:val="a0"/>
    <w:uiPriority w:val="99"/>
    <w:qFormat/>
    <w:rsid w:val="006C6249"/>
  </w:style>
  <w:style w:type="character" w:customStyle="1" w:styleId="ListLabel1">
    <w:name w:val="ListLabel 1"/>
    <w:qFormat/>
    <w:rsid w:val="00742105"/>
    <w:rPr>
      <w:rFonts w:eastAsia="Andale Sans UI" w:cs="Tahoma"/>
    </w:rPr>
  </w:style>
  <w:style w:type="character" w:customStyle="1" w:styleId="ListLabel2">
    <w:name w:val="ListLabel 2"/>
    <w:qFormat/>
    <w:rsid w:val="00742105"/>
    <w:rPr>
      <w:rFonts w:ascii="Times New Roman" w:hAnsi="Times New Roman"/>
      <w:b/>
      <w:sz w:val="28"/>
    </w:rPr>
  </w:style>
  <w:style w:type="character" w:customStyle="1" w:styleId="ListLabel3">
    <w:name w:val="ListLabel 3"/>
    <w:qFormat/>
    <w:rsid w:val="00742105"/>
    <w:rPr>
      <w:rFonts w:ascii="Times New Roman" w:hAnsi="Times New Roman"/>
      <w:b/>
      <w:sz w:val="28"/>
    </w:rPr>
  </w:style>
  <w:style w:type="character" w:customStyle="1" w:styleId="ListLabel4">
    <w:name w:val="ListLabel 4"/>
    <w:qFormat/>
    <w:rsid w:val="00742105"/>
    <w:rPr>
      <w:sz w:val="28"/>
    </w:rPr>
  </w:style>
  <w:style w:type="character" w:customStyle="1" w:styleId="ListLabel5">
    <w:name w:val="ListLabel 5"/>
    <w:qFormat/>
    <w:rsid w:val="00742105"/>
    <w:rPr>
      <w:sz w:val="28"/>
    </w:rPr>
  </w:style>
  <w:style w:type="character" w:customStyle="1" w:styleId="ListLabel6">
    <w:name w:val="ListLabel 6"/>
    <w:qFormat/>
    <w:rsid w:val="00742105"/>
    <w:rPr>
      <w:sz w:val="28"/>
    </w:rPr>
  </w:style>
  <w:style w:type="character" w:customStyle="1" w:styleId="ListLabel7">
    <w:name w:val="ListLabel 7"/>
    <w:qFormat/>
    <w:rsid w:val="00742105"/>
    <w:rPr>
      <w:sz w:val="28"/>
    </w:rPr>
  </w:style>
  <w:style w:type="character" w:customStyle="1" w:styleId="ListLabel8">
    <w:name w:val="ListLabel 8"/>
    <w:qFormat/>
    <w:rsid w:val="00742105"/>
    <w:rPr>
      <w:sz w:val="28"/>
    </w:rPr>
  </w:style>
  <w:style w:type="character" w:customStyle="1" w:styleId="ListLabel9">
    <w:name w:val="ListLabel 9"/>
    <w:qFormat/>
    <w:rsid w:val="00742105"/>
    <w:rPr>
      <w:sz w:val="28"/>
    </w:rPr>
  </w:style>
  <w:style w:type="character" w:customStyle="1" w:styleId="ListLabel10">
    <w:name w:val="ListLabel 10"/>
    <w:qFormat/>
    <w:rsid w:val="00742105"/>
    <w:rPr>
      <w:sz w:val="28"/>
    </w:rPr>
  </w:style>
  <w:style w:type="character" w:customStyle="1" w:styleId="ListLabel11">
    <w:name w:val="ListLabel 11"/>
    <w:qFormat/>
    <w:rsid w:val="00742105"/>
    <w:rPr>
      <w:rFonts w:cs="Courier New"/>
    </w:rPr>
  </w:style>
  <w:style w:type="character" w:customStyle="1" w:styleId="ListLabel12">
    <w:name w:val="ListLabel 12"/>
    <w:qFormat/>
    <w:rsid w:val="00742105"/>
    <w:rPr>
      <w:rFonts w:cs="Courier New"/>
    </w:rPr>
  </w:style>
  <w:style w:type="character" w:customStyle="1" w:styleId="ListLabel13">
    <w:name w:val="ListLabel 13"/>
    <w:qFormat/>
    <w:rsid w:val="00742105"/>
    <w:rPr>
      <w:rFonts w:cs="Courier New"/>
    </w:rPr>
  </w:style>
  <w:style w:type="character" w:customStyle="1" w:styleId="ListLabel14">
    <w:name w:val="ListLabel 14"/>
    <w:qFormat/>
    <w:rsid w:val="00742105"/>
    <w:rPr>
      <w:rFonts w:cs="Courier New"/>
    </w:rPr>
  </w:style>
  <w:style w:type="character" w:customStyle="1" w:styleId="ListLabel15">
    <w:name w:val="ListLabel 15"/>
    <w:qFormat/>
    <w:rsid w:val="00742105"/>
    <w:rPr>
      <w:rFonts w:cs="Courier New"/>
    </w:rPr>
  </w:style>
  <w:style w:type="character" w:customStyle="1" w:styleId="ListLabel16">
    <w:name w:val="ListLabel 16"/>
    <w:qFormat/>
    <w:rsid w:val="00742105"/>
    <w:rPr>
      <w:rFonts w:cs="Courier New"/>
    </w:rPr>
  </w:style>
  <w:style w:type="character" w:customStyle="1" w:styleId="ListLabel17">
    <w:name w:val="ListLabel 17"/>
    <w:qFormat/>
    <w:rsid w:val="00742105"/>
    <w:rPr>
      <w:rFonts w:cs="Courier New"/>
    </w:rPr>
  </w:style>
  <w:style w:type="character" w:customStyle="1" w:styleId="ListLabel18">
    <w:name w:val="ListLabel 18"/>
    <w:qFormat/>
    <w:rsid w:val="00742105"/>
    <w:rPr>
      <w:rFonts w:cs="Courier New"/>
    </w:rPr>
  </w:style>
  <w:style w:type="character" w:customStyle="1" w:styleId="ListLabel19">
    <w:name w:val="ListLabel 19"/>
    <w:qFormat/>
    <w:rsid w:val="00742105"/>
    <w:rPr>
      <w:rFonts w:cs="Courier New"/>
    </w:rPr>
  </w:style>
  <w:style w:type="character" w:customStyle="1" w:styleId="ListLabel20">
    <w:name w:val="ListLabel 20"/>
    <w:qFormat/>
    <w:rsid w:val="00742105"/>
    <w:rPr>
      <w:rFonts w:cs="Courier New"/>
    </w:rPr>
  </w:style>
  <w:style w:type="character" w:customStyle="1" w:styleId="ListLabel21">
    <w:name w:val="ListLabel 21"/>
    <w:qFormat/>
    <w:rsid w:val="00742105"/>
    <w:rPr>
      <w:rFonts w:cs="Courier New"/>
    </w:rPr>
  </w:style>
  <w:style w:type="character" w:customStyle="1" w:styleId="ListLabel22">
    <w:name w:val="ListLabel 22"/>
    <w:qFormat/>
    <w:rsid w:val="00742105"/>
    <w:rPr>
      <w:rFonts w:cs="Courier New"/>
    </w:rPr>
  </w:style>
  <w:style w:type="character" w:customStyle="1" w:styleId="ListLabel23">
    <w:name w:val="ListLabel 23"/>
    <w:qFormat/>
    <w:rsid w:val="00742105"/>
    <w:rPr>
      <w:rFonts w:cs="Courier New"/>
    </w:rPr>
  </w:style>
  <w:style w:type="character" w:customStyle="1" w:styleId="ListLabel24">
    <w:name w:val="ListLabel 24"/>
    <w:qFormat/>
    <w:rsid w:val="00742105"/>
    <w:rPr>
      <w:rFonts w:cs="Courier New"/>
    </w:rPr>
  </w:style>
  <w:style w:type="character" w:customStyle="1" w:styleId="ListLabel25">
    <w:name w:val="ListLabel 25"/>
    <w:qFormat/>
    <w:rsid w:val="00742105"/>
    <w:rPr>
      <w:rFonts w:cs="Courier New"/>
    </w:rPr>
  </w:style>
  <w:style w:type="character" w:customStyle="1" w:styleId="ListLabel26">
    <w:name w:val="ListLabel 26"/>
    <w:qFormat/>
    <w:rsid w:val="00742105"/>
    <w:rPr>
      <w:rFonts w:cs="Courier New"/>
    </w:rPr>
  </w:style>
  <w:style w:type="character" w:customStyle="1" w:styleId="ListLabel27">
    <w:name w:val="ListLabel 27"/>
    <w:qFormat/>
    <w:rsid w:val="00742105"/>
    <w:rPr>
      <w:rFonts w:cs="Courier New"/>
    </w:rPr>
  </w:style>
  <w:style w:type="character" w:customStyle="1" w:styleId="ListLabel28">
    <w:name w:val="ListLabel 28"/>
    <w:qFormat/>
    <w:rsid w:val="00742105"/>
    <w:rPr>
      <w:rFonts w:cs="Courier New"/>
    </w:rPr>
  </w:style>
  <w:style w:type="paragraph" w:customStyle="1" w:styleId="a6">
    <w:name w:val="Заголовок"/>
    <w:basedOn w:val="a"/>
    <w:next w:val="a7"/>
    <w:qFormat/>
    <w:rsid w:val="00742105"/>
    <w:pPr>
      <w:keepNext/>
      <w:spacing w:before="240" w:after="120"/>
    </w:pPr>
    <w:rPr>
      <w:rFonts w:ascii="Liberation Sans" w:eastAsia="Microsoft YaHei" w:hAnsi="Liberation Sans" w:cs="Arial"/>
      <w:sz w:val="28"/>
      <w:szCs w:val="28"/>
    </w:rPr>
  </w:style>
  <w:style w:type="paragraph" w:styleId="a7">
    <w:name w:val="Body Text"/>
    <w:basedOn w:val="a"/>
    <w:rsid w:val="00742105"/>
    <w:pPr>
      <w:spacing w:after="140" w:line="288" w:lineRule="auto"/>
    </w:pPr>
  </w:style>
  <w:style w:type="paragraph" w:styleId="a8">
    <w:name w:val="List"/>
    <w:basedOn w:val="a7"/>
    <w:rsid w:val="00742105"/>
    <w:rPr>
      <w:rFonts w:cs="Arial"/>
    </w:rPr>
  </w:style>
  <w:style w:type="paragraph" w:customStyle="1" w:styleId="Caption">
    <w:name w:val="Caption"/>
    <w:basedOn w:val="a"/>
    <w:qFormat/>
    <w:rsid w:val="00742105"/>
    <w:pPr>
      <w:suppressLineNumbers/>
      <w:spacing w:before="120" w:after="120"/>
    </w:pPr>
    <w:rPr>
      <w:rFonts w:cs="Arial"/>
      <w:i/>
      <w:iCs/>
      <w:sz w:val="24"/>
      <w:szCs w:val="24"/>
    </w:rPr>
  </w:style>
  <w:style w:type="paragraph" w:styleId="a9">
    <w:name w:val="index heading"/>
    <w:basedOn w:val="a"/>
    <w:qFormat/>
    <w:rsid w:val="00742105"/>
    <w:pPr>
      <w:suppressLineNumbers/>
    </w:pPr>
    <w:rPr>
      <w:rFonts w:cs="Arial"/>
    </w:rPr>
  </w:style>
  <w:style w:type="paragraph" w:customStyle="1" w:styleId="Standard">
    <w:name w:val="Standard"/>
    <w:qFormat/>
    <w:rsid w:val="00912CC9"/>
    <w:pPr>
      <w:widowControl w:val="0"/>
      <w:suppressAutoHyphens/>
      <w:textAlignment w:val="baseline"/>
    </w:pPr>
    <w:rPr>
      <w:rFonts w:ascii="Times New Roman" w:eastAsia="Andale Sans UI" w:hAnsi="Times New Roman" w:cs="Tahoma"/>
      <w:sz w:val="24"/>
      <w:szCs w:val="24"/>
      <w:lang w:val="en-US" w:bidi="en-US"/>
    </w:rPr>
  </w:style>
  <w:style w:type="paragraph" w:customStyle="1" w:styleId="Textbody">
    <w:name w:val="Text body"/>
    <w:basedOn w:val="Standard"/>
    <w:qFormat/>
    <w:rsid w:val="00912CC9"/>
    <w:pPr>
      <w:spacing w:after="120"/>
    </w:pPr>
  </w:style>
  <w:style w:type="paragraph" w:styleId="aa">
    <w:name w:val="List Paragraph"/>
    <w:basedOn w:val="a"/>
    <w:uiPriority w:val="34"/>
    <w:qFormat/>
    <w:rsid w:val="005F6150"/>
    <w:pPr>
      <w:ind w:left="720"/>
      <w:contextualSpacing/>
    </w:pPr>
  </w:style>
  <w:style w:type="paragraph" w:styleId="ab">
    <w:name w:val="Balloon Text"/>
    <w:basedOn w:val="a"/>
    <w:uiPriority w:val="99"/>
    <w:semiHidden/>
    <w:unhideWhenUsed/>
    <w:qFormat/>
    <w:rsid w:val="00B732DE"/>
    <w:pPr>
      <w:spacing w:after="0" w:line="240" w:lineRule="auto"/>
    </w:pPr>
    <w:rPr>
      <w:rFonts w:ascii="Tahoma" w:hAnsi="Tahoma" w:cs="Tahoma"/>
      <w:sz w:val="16"/>
      <w:szCs w:val="16"/>
    </w:rPr>
  </w:style>
  <w:style w:type="paragraph" w:customStyle="1" w:styleId="Header">
    <w:name w:val="Header"/>
    <w:basedOn w:val="a"/>
    <w:uiPriority w:val="99"/>
    <w:unhideWhenUsed/>
    <w:rsid w:val="006C6249"/>
    <w:pPr>
      <w:tabs>
        <w:tab w:val="center" w:pos="4677"/>
        <w:tab w:val="right" w:pos="9355"/>
      </w:tabs>
      <w:spacing w:after="0" w:line="240" w:lineRule="auto"/>
    </w:pPr>
  </w:style>
  <w:style w:type="paragraph" w:customStyle="1" w:styleId="Footer">
    <w:name w:val="Footer"/>
    <w:basedOn w:val="a"/>
    <w:uiPriority w:val="99"/>
    <w:unhideWhenUsed/>
    <w:rsid w:val="006C6249"/>
    <w:pPr>
      <w:tabs>
        <w:tab w:val="center" w:pos="4677"/>
        <w:tab w:val="right" w:pos="9355"/>
      </w:tabs>
      <w:spacing w:after="0" w:line="240" w:lineRule="auto"/>
    </w:pPr>
  </w:style>
  <w:style w:type="paragraph" w:customStyle="1" w:styleId="ac">
    <w:name w:val="Содержимое врезки"/>
    <w:basedOn w:val="a"/>
    <w:qFormat/>
    <w:rsid w:val="00742105"/>
  </w:style>
  <w:style w:type="table" w:styleId="ad">
    <w:name w:val="Table Grid"/>
    <w:basedOn w:val="a1"/>
    <w:uiPriority w:val="59"/>
    <w:rsid w:val="004C5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Light Shading"/>
    <w:basedOn w:val="a1"/>
    <w:uiPriority w:val="60"/>
    <w:rsid w:val="004C53E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4C53E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4C53E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1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14141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a:lstStyle/>
          <a:p>
            <a:pPr>
              <a:defRPr lang="en-US" sz="1800" b="1" strike="noStrike" spc="-1">
                <a:solidFill>
                  <a:srgbClr val="000000"/>
                </a:solidFill>
                <a:uFill>
                  <a:solidFill>
                    <a:srgbClr val="FFFFFF"/>
                  </a:solidFill>
                </a:uFill>
                <a:latin typeface="Calibri"/>
              </a:defRPr>
            </a:pPr>
            <a:r>
              <a:rPr sz="1800" b="1" strike="noStrike" spc="-1">
                <a:solidFill>
                  <a:srgbClr val="000000"/>
                </a:solidFill>
                <a:uFill>
                  <a:solidFill>
                    <a:srgbClr val="FFFFFF"/>
                  </a:solidFill>
                </a:uFill>
                <a:latin typeface="Calibri"/>
              </a:rPr>
              <a:t>Общий доход за 2015 год - 67862, 3 тыс. руб.
Гос.задание  - 20612, 0 тыс. руб
внебюджет - 38445,0 тыс.руб
целевые субсидии - 8805, 0 тыс. руб </a:t>
            </a:r>
          </a:p>
        </c:rich>
      </c:tx>
    </c:title>
    <c:plotArea>
      <c:layout/>
      <c:pieChart>
        <c:varyColors val="1"/>
        <c:ser>
          <c:idx val="0"/>
          <c:order val="0"/>
          <c:tx>
            <c:strRef>
              <c:f>label 0</c:f>
              <c:strCache>
                <c:ptCount val="1"/>
                <c:pt idx="0">
                  <c:v>Общий доход за 2015 год - 67862, 3 тыс. руб. </c:v>
                </c:pt>
              </c:strCache>
            </c:strRef>
          </c:tx>
          <c:spPr>
            <a:solidFill>
              <a:srgbClr val="4F81BD"/>
            </a:solidFill>
            <a:ln>
              <a:noFill/>
            </a:ln>
          </c:spPr>
          <c:explosion val="25"/>
          <c:dPt>
            <c:idx val="1"/>
            <c:spPr>
              <a:solidFill>
                <a:srgbClr val="C0504D"/>
              </a:solidFill>
              <a:ln>
                <a:noFill/>
              </a:ln>
            </c:spPr>
          </c:dPt>
          <c:dPt>
            <c:idx val="2"/>
            <c:spPr>
              <a:solidFill>
                <a:srgbClr val="9BBB59"/>
              </a:solidFill>
              <a:ln>
                <a:noFill/>
              </a:ln>
            </c:spPr>
          </c:dPt>
          <c:dLbls>
            <c:txPr>
              <a:bodyPr/>
              <a:lstStyle/>
              <a:p>
                <a:pPr>
                  <a:defRPr lang="en-US"/>
                </a:pPr>
                <a:endParaRPr lang="ru-RU"/>
              </a:p>
            </c:txPr>
            <c:dLblPos val="bestFit"/>
            <c:showPercent val="1"/>
          </c:dLbls>
          <c:cat>
            <c:strRef>
              <c:f>categories</c:f>
              <c:strCache>
                <c:ptCount val="3"/>
                <c:pt idx="0">
                  <c:v>Гос. Задание</c:v>
                </c:pt>
                <c:pt idx="1">
                  <c:v>Внебюджет</c:v>
                </c:pt>
                <c:pt idx="2">
                  <c:v>Целевые субсидии</c:v>
                </c:pt>
              </c:strCache>
            </c:strRef>
          </c:cat>
          <c:val>
            <c:numRef>
              <c:f>0</c:f>
              <c:numCache>
                <c:formatCode>General</c:formatCode>
                <c:ptCount val="3"/>
                <c:pt idx="0">
                  <c:v>20612</c:v>
                </c:pt>
                <c:pt idx="1">
                  <c:v>38445</c:v>
                </c:pt>
                <c:pt idx="2">
                  <c:v>8805.2999999999902</c:v>
                </c:pt>
              </c:numCache>
            </c:numRef>
          </c:val>
        </c:ser>
        <c:firstSliceAng val="0"/>
      </c:pieChart>
      <c:spPr>
        <a:solidFill>
          <a:srgbClr val="FFFFFF"/>
        </a:solidFill>
        <a:ln>
          <a:noFill/>
        </a:ln>
      </c:spPr>
    </c:plotArea>
    <c:legend>
      <c:legendPos val="t"/>
      <c:spPr>
        <a:noFill/>
        <a:ln>
          <a:noFill/>
        </a:ln>
      </c:spPr>
      <c:txPr>
        <a:bodyPr/>
        <a:lstStyle/>
        <a:p>
          <a:pPr>
            <a:defRPr lang="en-US"/>
          </a:pPr>
          <a:endParaRPr lang="ru-RU"/>
        </a:p>
      </c:txPr>
    </c:legend>
    <c:plotVisOnly val="1"/>
    <c:dispBlanksAs val="zero"/>
  </c:chart>
  <c:spPr>
    <a:solidFill>
      <a:srgbClr val="FFFFFF"/>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a:lstStyle/>
          <a:p>
            <a:pPr>
              <a:defRPr lang="en-US" sz="1600" b="1" strike="noStrike" spc="-1">
                <a:solidFill>
                  <a:srgbClr val="000000"/>
                </a:solidFill>
                <a:uFill>
                  <a:solidFill>
                    <a:srgbClr val="FFFFFF"/>
                  </a:solidFill>
                </a:uFill>
                <a:latin typeface="Calibri"/>
              </a:defRPr>
            </a:pPr>
            <a:r>
              <a:rPr sz="1600" b="1" strike="noStrike" spc="-1">
                <a:solidFill>
                  <a:srgbClr val="000000"/>
                </a:solidFill>
                <a:uFill>
                  <a:solidFill>
                    <a:srgbClr val="FFFFFF"/>
                  </a:solidFill>
                </a:uFill>
                <a:latin typeface="Calibri"/>
              </a:rPr>
              <a:t>Общий доход за 2016 год - 61513,6 тыс. руб
Гос. задание - 16918,3 тыс. руб
Внебюджет - 44595,3 тыс. руб
</a:t>
            </a:r>
          </a:p>
        </c:rich>
      </c:tx>
    </c:title>
    <c:plotArea>
      <c:layout/>
      <c:pieChart>
        <c:varyColors val="1"/>
        <c:ser>
          <c:idx val="0"/>
          <c:order val="0"/>
          <c:tx>
            <c:strRef>
              <c:f>label 0</c:f>
              <c:strCache>
                <c:ptCount val="1"/>
                <c:pt idx="0">
                  <c:v>Общий доход за 2017 год - 61513,6 тыс. руб</c:v>
                </c:pt>
              </c:strCache>
            </c:strRef>
          </c:tx>
          <c:spPr>
            <a:solidFill>
              <a:srgbClr val="4F81BD"/>
            </a:solidFill>
            <a:ln>
              <a:noFill/>
            </a:ln>
          </c:spPr>
          <c:explosion val="25"/>
          <c:dPt>
            <c:idx val="1"/>
            <c:spPr>
              <a:solidFill>
                <a:srgbClr val="C0504D"/>
              </a:solidFill>
              <a:ln>
                <a:noFill/>
              </a:ln>
            </c:spPr>
          </c:dPt>
          <c:dLbls>
            <c:txPr>
              <a:bodyPr/>
              <a:lstStyle/>
              <a:p>
                <a:pPr>
                  <a:defRPr lang="en-US"/>
                </a:pPr>
                <a:endParaRPr lang="ru-RU"/>
              </a:p>
            </c:txPr>
            <c:dLblPos val="bestFit"/>
            <c:showPercent val="1"/>
          </c:dLbls>
          <c:cat>
            <c:strRef>
              <c:f>categories</c:f>
              <c:strCache>
                <c:ptCount val="2"/>
                <c:pt idx="0">
                  <c:v>Гос.задание </c:v>
                </c:pt>
                <c:pt idx="1">
                  <c:v>внебюджет</c:v>
                </c:pt>
              </c:strCache>
            </c:strRef>
          </c:cat>
          <c:val>
            <c:numRef>
              <c:f>0</c:f>
              <c:numCache>
                <c:formatCode>General</c:formatCode>
                <c:ptCount val="2"/>
                <c:pt idx="0">
                  <c:v>16918.3</c:v>
                </c:pt>
                <c:pt idx="1">
                  <c:v>44595.3</c:v>
                </c:pt>
              </c:numCache>
            </c:numRef>
          </c:val>
        </c:ser>
        <c:firstSliceAng val="0"/>
      </c:pieChart>
      <c:spPr>
        <a:solidFill>
          <a:srgbClr val="FFFFFF"/>
        </a:solidFill>
        <a:ln>
          <a:noFill/>
        </a:ln>
      </c:spPr>
    </c:plotArea>
    <c:legend>
      <c:legendPos val="t"/>
      <c:spPr>
        <a:noFill/>
        <a:ln>
          <a:noFill/>
        </a:ln>
      </c:spPr>
      <c:txPr>
        <a:bodyPr/>
        <a:lstStyle/>
        <a:p>
          <a:pPr>
            <a:defRPr lang="en-US"/>
          </a:pPr>
          <a:endParaRPr lang="ru-RU"/>
        </a:p>
      </c:txPr>
    </c:legend>
    <c:plotVisOnly val="1"/>
    <c:dispBlanksAs val="zero"/>
  </c:chart>
  <c:spPr>
    <a:solidFill>
      <a:srgbClr val="FFFFFF"/>
    </a:soli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a:lstStyle/>
          <a:p>
            <a:pPr>
              <a:defRPr lang="en-US" sz="1600" b="1" strike="noStrike" spc="-1">
                <a:solidFill>
                  <a:srgbClr val="000000"/>
                </a:solidFill>
                <a:uFill>
                  <a:solidFill>
                    <a:srgbClr val="FFFFFF"/>
                  </a:solidFill>
                </a:uFill>
                <a:latin typeface="Calibri"/>
              </a:defRPr>
            </a:pPr>
            <a:r>
              <a:rPr sz="1600" b="1" strike="noStrike" spc="-1">
                <a:solidFill>
                  <a:srgbClr val="000000"/>
                </a:solidFill>
                <a:uFill>
                  <a:solidFill>
                    <a:srgbClr val="FFFFFF"/>
                  </a:solidFill>
                </a:uFill>
                <a:latin typeface="Calibri"/>
              </a:rPr>
              <a:t>Общий доход за 2017 год - 62868,7 тыс. руб
Гос. задание - 16964,2 тыс. руб
Внебюджет - 45265,1 тыс. руб
Целевые субсидии - 639,4 тыс.руб
</a:t>
            </a:r>
          </a:p>
        </c:rich>
      </c:tx>
    </c:title>
    <c:plotArea>
      <c:layout/>
      <c:pieChart>
        <c:varyColors val="1"/>
        <c:ser>
          <c:idx val="0"/>
          <c:order val="0"/>
          <c:tx>
            <c:strRef>
              <c:f>label 0</c:f>
              <c:strCache>
                <c:ptCount val="1"/>
                <c:pt idx="0">
                  <c:v>Продажи</c:v>
                </c:pt>
              </c:strCache>
            </c:strRef>
          </c:tx>
          <c:spPr>
            <a:solidFill>
              <a:srgbClr val="4F81BD"/>
            </a:solidFill>
            <a:ln>
              <a:noFill/>
            </a:ln>
          </c:spPr>
          <c:explosion val="25"/>
          <c:dPt>
            <c:idx val="1"/>
            <c:spPr>
              <a:solidFill>
                <a:srgbClr val="C0504D"/>
              </a:solidFill>
              <a:ln>
                <a:noFill/>
              </a:ln>
            </c:spPr>
          </c:dPt>
          <c:dPt>
            <c:idx val="2"/>
            <c:spPr>
              <a:solidFill>
                <a:srgbClr val="9BBB59"/>
              </a:solidFill>
              <a:ln>
                <a:noFill/>
              </a:ln>
            </c:spPr>
          </c:dPt>
          <c:dLbls>
            <c:txPr>
              <a:bodyPr/>
              <a:lstStyle/>
              <a:p>
                <a:pPr>
                  <a:defRPr lang="en-US"/>
                </a:pPr>
                <a:endParaRPr lang="ru-RU"/>
              </a:p>
            </c:txPr>
            <c:dLblPos val="bestFit"/>
            <c:showPercent val="1"/>
          </c:dLbls>
          <c:cat>
            <c:strRef>
              <c:f>categories</c:f>
              <c:strCache>
                <c:ptCount val="3"/>
                <c:pt idx="0">
                  <c:v>Гос. Задание</c:v>
                </c:pt>
                <c:pt idx="1">
                  <c:v>Внебюджет</c:v>
                </c:pt>
                <c:pt idx="2">
                  <c:v>Целевые субсидии</c:v>
                </c:pt>
              </c:strCache>
            </c:strRef>
          </c:cat>
          <c:val>
            <c:numRef>
              <c:f>0</c:f>
              <c:numCache>
                <c:formatCode>General</c:formatCode>
                <c:ptCount val="3"/>
                <c:pt idx="0">
                  <c:v>16964.2</c:v>
                </c:pt>
                <c:pt idx="1">
                  <c:v>45265.1</c:v>
                </c:pt>
                <c:pt idx="2">
                  <c:v>639.4</c:v>
                </c:pt>
              </c:numCache>
            </c:numRef>
          </c:val>
        </c:ser>
        <c:firstSliceAng val="0"/>
      </c:pieChart>
      <c:spPr>
        <a:solidFill>
          <a:srgbClr val="FFFFFF"/>
        </a:solidFill>
        <a:ln>
          <a:noFill/>
        </a:ln>
      </c:spPr>
    </c:plotArea>
    <c:legend>
      <c:legendPos val="t"/>
      <c:spPr>
        <a:noFill/>
        <a:ln>
          <a:noFill/>
        </a:ln>
      </c:spPr>
      <c:txPr>
        <a:bodyPr/>
        <a:lstStyle/>
        <a:p>
          <a:pPr>
            <a:defRPr lang="en-US"/>
          </a:pPr>
          <a:endParaRPr lang="ru-RU"/>
        </a:p>
      </c:txPr>
    </c:legend>
    <c:plotVisOnly val="1"/>
    <c:dispBlanksAs val="zero"/>
  </c:chart>
  <c:spPr>
    <a:solidFill>
      <a:srgbClr val="FFFFFF"/>
    </a:solid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a:lstStyle/>
          <a:p>
            <a:pPr>
              <a:defRPr lang="en-US" sz="1600" b="1" strike="noStrike" spc="-1">
                <a:solidFill>
                  <a:srgbClr val="000000"/>
                </a:solidFill>
                <a:uFill>
                  <a:solidFill>
                    <a:srgbClr val="FFFFFF"/>
                  </a:solidFill>
                </a:uFill>
                <a:latin typeface="Calibri"/>
              </a:defRPr>
            </a:pPr>
            <a:r>
              <a:rPr sz="1600" b="1" strike="noStrike" spc="-1">
                <a:solidFill>
                  <a:srgbClr val="000000"/>
                </a:solidFill>
                <a:uFill>
                  <a:solidFill>
                    <a:srgbClr val="FFFFFF"/>
                  </a:solidFill>
                </a:uFill>
                <a:latin typeface="Calibri"/>
              </a:rPr>
              <a:t>Планируемый доход на 2018 год - 65199,1 тыс. руб
Гос. задание - 19779, 1тыс. руб
Внебюджет - 45420,0 тыс. руб
</a:t>
            </a:r>
          </a:p>
        </c:rich>
      </c:tx>
    </c:title>
    <c:plotArea>
      <c:layout/>
      <c:pieChart>
        <c:varyColors val="1"/>
        <c:ser>
          <c:idx val="0"/>
          <c:order val="0"/>
          <c:tx>
            <c:strRef>
              <c:f>label 0</c:f>
              <c:strCache>
                <c:ptCount val="1"/>
                <c:pt idx="0">
                  <c:v>Продажи</c:v>
                </c:pt>
              </c:strCache>
            </c:strRef>
          </c:tx>
          <c:spPr>
            <a:solidFill>
              <a:srgbClr val="4F81BD"/>
            </a:solidFill>
            <a:ln>
              <a:noFill/>
            </a:ln>
          </c:spPr>
          <c:explosion val="25"/>
          <c:dPt>
            <c:idx val="1"/>
            <c:spPr>
              <a:solidFill>
                <a:srgbClr val="C0504D"/>
              </a:solidFill>
              <a:ln>
                <a:noFill/>
              </a:ln>
            </c:spPr>
          </c:dPt>
          <c:dLbls>
            <c:txPr>
              <a:bodyPr/>
              <a:lstStyle/>
              <a:p>
                <a:pPr>
                  <a:defRPr lang="en-US"/>
                </a:pPr>
                <a:endParaRPr lang="ru-RU"/>
              </a:p>
            </c:txPr>
            <c:dLblPos val="bestFit"/>
            <c:showPercent val="1"/>
          </c:dLbls>
          <c:cat>
            <c:strRef>
              <c:f>categories</c:f>
              <c:strCache>
                <c:ptCount val="2"/>
                <c:pt idx="0">
                  <c:v>Гос.задание</c:v>
                </c:pt>
                <c:pt idx="1">
                  <c:v>Внебюджет</c:v>
                </c:pt>
              </c:strCache>
            </c:strRef>
          </c:cat>
          <c:val>
            <c:numRef>
              <c:f>0</c:f>
              <c:numCache>
                <c:formatCode>General</c:formatCode>
                <c:ptCount val="2"/>
                <c:pt idx="0">
                  <c:v>19779.09999999998</c:v>
                </c:pt>
                <c:pt idx="1">
                  <c:v>45420</c:v>
                </c:pt>
              </c:numCache>
            </c:numRef>
          </c:val>
        </c:ser>
        <c:firstSliceAng val="0"/>
      </c:pieChart>
      <c:spPr>
        <a:solidFill>
          <a:srgbClr val="FFFFFF"/>
        </a:solidFill>
        <a:ln>
          <a:noFill/>
        </a:ln>
      </c:spPr>
    </c:plotArea>
    <c:legend>
      <c:legendPos val="t"/>
      <c:spPr>
        <a:noFill/>
        <a:ln>
          <a:noFill/>
        </a:ln>
      </c:spPr>
      <c:txPr>
        <a:bodyPr/>
        <a:lstStyle/>
        <a:p>
          <a:pPr>
            <a:defRPr lang="en-US"/>
          </a:pPr>
          <a:endParaRPr lang="ru-RU"/>
        </a:p>
      </c:txPr>
    </c:legend>
    <c:plotVisOnly val="1"/>
    <c:dispBlanksAs val="zero"/>
  </c:chart>
  <c:spPr>
    <a:solidFill>
      <a:srgbClr val="FFFFFF"/>
    </a:solid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D0E6-A306-441F-807B-22D104AA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22</Pages>
  <Words>3986</Words>
  <Characters>22725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dc:description/>
  <cp:lastModifiedBy>Алтухова Светлана</cp:lastModifiedBy>
  <cp:revision>21</cp:revision>
  <cp:lastPrinted>2018-07-11T12:31:00Z</cp:lastPrinted>
  <dcterms:created xsi:type="dcterms:W3CDTF">2018-07-09T21:39:00Z</dcterms:created>
  <dcterms:modified xsi:type="dcterms:W3CDTF">2018-07-11T16:15:00Z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